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1F" w:rsidRPr="001A0E4B" w:rsidRDefault="00BF70A6" w:rsidP="00792A1F">
      <w:pPr>
        <w:jc w:val="center"/>
        <w:rPr>
          <w:rFonts w:ascii="Times New Roman" w:hAnsi="Times New Roman" w:cs="Times New Roman"/>
          <w:sz w:val="28"/>
          <w:szCs w:val="28"/>
        </w:rPr>
      </w:pPr>
      <w:r w:rsidRPr="001A0E4B">
        <w:rPr>
          <w:rFonts w:ascii="Times New Roman" w:hAnsi="Times New Roman" w:cs="Times New Roman"/>
          <w:sz w:val="28"/>
          <w:szCs w:val="28"/>
        </w:rPr>
        <w:t>O</w:t>
      </w:r>
      <w:r w:rsidR="00792A1F" w:rsidRPr="001A0E4B">
        <w:rPr>
          <w:rFonts w:ascii="Times New Roman" w:hAnsi="Times New Roman" w:cs="Times New Roman"/>
          <w:sz w:val="28"/>
          <w:szCs w:val="28"/>
        </w:rPr>
        <w:t>bveze Grada Pule sa stanjem na dan 31.12.2014. godine</w:t>
      </w:r>
    </w:p>
    <w:p w:rsidR="001A0E4B" w:rsidRDefault="001A0E4B" w:rsidP="00792A1F">
      <w:pPr>
        <w:jc w:val="both"/>
        <w:rPr>
          <w:rFonts w:ascii="Times New Roman" w:hAnsi="Times New Roman" w:cs="Times New Roman"/>
        </w:rPr>
      </w:pPr>
    </w:p>
    <w:p w:rsidR="001A0E4B" w:rsidRDefault="001A0E4B" w:rsidP="00792A1F">
      <w:pPr>
        <w:jc w:val="both"/>
        <w:rPr>
          <w:rFonts w:ascii="Times New Roman" w:hAnsi="Times New Roman" w:cs="Times New Roman"/>
        </w:rPr>
      </w:pPr>
    </w:p>
    <w:p w:rsidR="00792A1F" w:rsidRDefault="00792A1F" w:rsidP="00792A1F">
      <w:pPr>
        <w:jc w:val="both"/>
        <w:rPr>
          <w:rFonts w:ascii="Times New Roman" w:hAnsi="Times New Roman" w:cs="Times New Roman"/>
        </w:rPr>
      </w:pPr>
      <w:r w:rsidRPr="00792A1F">
        <w:rPr>
          <w:rFonts w:ascii="Times New Roman" w:hAnsi="Times New Roman" w:cs="Times New Roman"/>
        </w:rPr>
        <w:t xml:space="preserve">Ukupne obveze na dan 31.12.2014. godine iznose </w:t>
      </w:r>
      <w:r w:rsidR="00542859">
        <w:rPr>
          <w:rFonts w:ascii="Times New Roman" w:hAnsi="Times New Roman" w:cs="Times New Roman"/>
        </w:rPr>
        <w:t>25.639.144</w:t>
      </w:r>
      <w:r w:rsidRPr="00792A1F">
        <w:rPr>
          <w:rFonts w:ascii="Times New Roman" w:hAnsi="Times New Roman" w:cs="Times New Roman"/>
        </w:rPr>
        <w:t xml:space="preserve"> kn prema tablici koja slijedi:</w:t>
      </w:r>
    </w:p>
    <w:p w:rsidR="001A0E4B" w:rsidRPr="00E733A3" w:rsidRDefault="001A0E4B" w:rsidP="00792A1F">
      <w:pPr>
        <w:jc w:val="both"/>
        <w:rPr>
          <w:rFonts w:ascii="Times New Roman" w:hAnsi="Times New Roman" w:cs="Times New Roman"/>
          <w:b/>
          <w:i/>
        </w:rPr>
      </w:pPr>
      <w:r w:rsidRPr="00E733A3">
        <w:rPr>
          <w:rFonts w:ascii="Times New Roman" w:hAnsi="Times New Roman" w:cs="Times New Roman"/>
          <w:b/>
          <w:i/>
        </w:rPr>
        <w:t>Tablica 1 – Rekapitulacija ukupnih obveza na dan 31.12.2014. godine</w:t>
      </w:r>
    </w:p>
    <w:tbl>
      <w:tblPr>
        <w:tblW w:w="8761" w:type="dxa"/>
        <w:tblInd w:w="98" w:type="dxa"/>
        <w:tblLook w:val="04A0"/>
      </w:tblPr>
      <w:tblGrid>
        <w:gridCol w:w="1170"/>
        <w:gridCol w:w="4369"/>
        <w:gridCol w:w="1704"/>
        <w:gridCol w:w="1518"/>
      </w:tblGrid>
      <w:tr w:rsidR="00E733A3" w:rsidRPr="009663FC" w:rsidTr="001A0E4B">
        <w:trPr>
          <w:trHeight w:val="439"/>
        </w:trPr>
        <w:tc>
          <w:tcPr>
            <w:tcW w:w="1170" w:type="dxa"/>
            <w:vMerge w:val="restart"/>
            <w:tcBorders>
              <w:top w:val="single" w:sz="8" w:space="0" w:color="auto"/>
              <w:left w:val="single" w:sz="8" w:space="0" w:color="auto"/>
              <w:bottom w:val="single" w:sz="8" w:space="0" w:color="000000"/>
              <w:right w:val="single" w:sz="8" w:space="0" w:color="000000"/>
            </w:tcBorders>
            <w:shd w:val="clear" w:color="000000" w:fill="C0C0C0"/>
            <w:vAlign w:val="center"/>
            <w:hideMark/>
          </w:tcPr>
          <w:p w:rsidR="009663FC" w:rsidRPr="009663FC" w:rsidRDefault="009663FC" w:rsidP="00FA3541">
            <w:pPr>
              <w:spacing w:after="0" w:line="240" w:lineRule="auto"/>
              <w:jc w:val="center"/>
              <w:rPr>
                <w:rFonts w:ascii="Times New Roman" w:eastAsia="Times New Roman" w:hAnsi="Times New Roman" w:cs="Times New Roman"/>
                <w:b/>
                <w:bCs/>
                <w:color w:val="000000"/>
                <w:sz w:val="20"/>
                <w:szCs w:val="20"/>
                <w:lang w:eastAsia="hr-HR"/>
              </w:rPr>
            </w:pPr>
            <w:r w:rsidRPr="009663FC">
              <w:rPr>
                <w:rFonts w:ascii="Times New Roman" w:eastAsia="Times New Roman" w:hAnsi="Times New Roman" w:cs="Times New Roman"/>
                <w:b/>
                <w:bCs/>
                <w:color w:val="000000"/>
                <w:sz w:val="20"/>
                <w:szCs w:val="20"/>
                <w:lang w:eastAsia="hr-HR"/>
              </w:rPr>
              <w:t>BROJ RAČUNA</w:t>
            </w:r>
          </w:p>
        </w:tc>
        <w:tc>
          <w:tcPr>
            <w:tcW w:w="4369" w:type="dxa"/>
            <w:vMerge w:val="restart"/>
            <w:tcBorders>
              <w:top w:val="single" w:sz="8" w:space="0" w:color="auto"/>
              <w:left w:val="single" w:sz="8" w:space="0" w:color="000000"/>
              <w:bottom w:val="single" w:sz="8" w:space="0" w:color="000000"/>
              <w:right w:val="single" w:sz="8" w:space="0" w:color="000000"/>
            </w:tcBorders>
            <w:shd w:val="clear" w:color="000000" w:fill="C0C0C0"/>
            <w:vAlign w:val="center"/>
            <w:hideMark/>
          </w:tcPr>
          <w:p w:rsidR="009663FC" w:rsidRPr="009663FC" w:rsidRDefault="009663FC" w:rsidP="00FA3541">
            <w:pPr>
              <w:spacing w:after="0" w:line="240" w:lineRule="auto"/>
              <w:jc w:val="center"/>
              <w:rPr>
                <w:rFonts w:ascii="Times New Roman" w:eastAsia="Times New Roman" w:hAnsi="Times New Roman" w:cs="Times New Roman"/>
                <w:b/>
                <w:bCs/>
                <w:color w:val="000000"/>
                <w:sz w:val="20"/>
                <w:szCs w:val="20"/>
                <w:lang w:eastAsia="hr-HR"/>
              </w:rPr>
            </w:pPr>
            <w:r w:rsidRPr="009663FC">
              <w:rPr>
                <w:rFonts w:ascii="Times New Roman" w:eastAsia="Times New Roman" w:hAnsi="Times New Roman" w:cs="Times New Roman"/>
                <w:b/>
                <w:bCs/>
                <w:color w:val="000000"/>
                <w:sz w:val="20"/>
                <w:szCs w:val="20"/>
                <w:lang w:eastAsia="hr-HR"/>
              </w:rPr>
              <w:t>NAZIV RAČUNA</w:t>
            </w:r>
          </w:p>
        </w:tc>
        <w:tc>
          <w:tcPr>
            <w:tcW w:w="1704" w:type="dxa"/>
            <w:vMerge w:val="restart"/>
            <w:tcBorders>
              <w:top w:val="single" w:sz="8" w:space="0" w:color="auto"/>
              <w:left w:val="single" w:sz="8" w:space="0" w:color="000000"/>
              <w:bottom w:val="single" w:sz="8" w:space="0" w:color="000000"/>
              <w:right w:val="single" w:sz="8" w:space="0" w:color="auto"/>
            </w:tcBorders>
            <w:shd w:val="clear" w:color="000000" w:fill="C0C0C0"/>
            <w:vAlign w:val="center"/>
            <w:hideMark/>
          </w:tcPr>
          <w:p w:rsidR="009663FC" w:rsidRPr="009663FC" w:rsidRDefault="009663FC" w:rsidP="00FA3541">
            <w:pPr>
              <w:spacing w:after="0" w:line="240" w:lineRule="auto"/>
              <w:jc w:val="center"/>
              <w:rPr>
                <w:rFonts w:ascii="Times New Roman" w:eastAsia="Times New Roman" w:hAnsi="Times New Roman" w:cs="Times New Roman"/>
                <w:b/>
                <w:bCs/>
                <w:color w:val="000000"/>
                <w:sz w:val="20"/>
                <w:szCs w:val="20"/>
                <w:lang w:eastAsia="hr-HR"/>
              </w:rPr>
            </w:pPr>
            <w:r w:rsidRPr="009663FC">
              <w:rPr>
                <w:rFonts w:ascii="Times New Roman" w:eastAsia="Times New Roman" w:hAnsi="Times New Roman" w:cs="Times New Roman"/>
                <w:b/>
                <w:bCs/>
                <w:color w:val="000000"/>
                <w:sz w:val="20"/>
                <w:szCs w:val="20"/>
                <w:lang w:eastAsia="hr-HR"/>
              </w:rPr>
              <w:t>OBVEZE NA 31.12.2014.</w:t>
            </w:r>
          </w:p>
        </w:tc>
        <w:tc>
          <w:tcPr>
            <w:tcW w:w="151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663FC" w:rsidRPr="009663FC" w:rsidRDefault="009663FC" w:rsidP="00FA3541">
            <w:pPr>
              <w:spacing w:after="0" w:line="240" w:lineRule="auto"/>
              <w:jc w:val="center"/>
              <w:rPr>
                <w:rFonts w:ascii="Calibri" w:eastAsia="Times New Roman" w:hAnsi="Calibri" w:cs="Times New Roman"/>
                <w:b/>
                <w:bCs/>
                <w:color w:val="000000"/>
                <w:sz w:val="20"/>
                <w:szCs w:val="20"/>
                <w:lang w:eastAsia="hr-HR"/>
              </w:rPr>
            </w:pPr>
            <w:r w:rsidRPr="009663FC">
              <w:rPr>
                <w:rFonts w:ascii="Calibri" w:eastAsia="Times New Roman" w:hAnsi="Calibri" w:cs="Times New Roman"/>
                <w:b/>
                <w:bCs/>
                <w:color w:val="000000"/>
                <w:sz w:val="20"/>
                <w:szCs w:val="20"/>
                <w:lang w:eastAsia="hr-HR"/>
              </w:rPr>
              <w:t>UDIO U UKUPNIM OBVEZAMA</w:t>
            </w:r>
          </w:p>
        </w:tc>
      </w:tr>
      <w:tr w:rsidR="00E733A3" w:rsidRPr="009663FC" w:rsidTr="001A0E4B">
        <w:trPr>
          <w:trHeight w:val="271"/>
        </w:trPr>
        <w:tc>
          <w:tcPr>
            <w:tcW w:w="1170" w:type="dxa"/>
            <w:vMerge/>
            <w:tcBorders>
              <w:top w:val="single" w:sz="8" w:space="0" w:color="auto"/>
              <w:left w:val="single" w:sz="8" w:space="0" w:color="auto"/>
              <w:bottom w:val="single" w:sz="8" w:space="0" w:color="000000"/>
              <w:right w:val="single" w:sz="8" w:space="0" w:color="000000"/>
            </w:tcBorders>
            <w:vAlign w:val="center"/>
            <w:hideMark/>
          </w:tcPr>
          <w:p w:rsidR="009663FC" w:rsidRPr="009663FC" w:rsidRDefault="009663FC" w:rsidP="00FA3541">
            <w:pPr>
              <w:spacing w:after="0" w:line="240" w:lineRule="auto"/>
              <w:rPr>
                <w:rFonts w:ascii="Times New Roman" w:eastAsia="Times New Roman" w:hAnsi="Times New Roman" w:cs="Times New Roman"/>
                <w:b/>
                <w:bCs/>
                <w:color w:val="000000"/>
                <w:sz w:val="20"/>
                <w:szCs w:val="20"/>
                <w:lang w:eastAsia="hr-HR"/>
              </w:rPr>
            </w:pPr>
          </w:p>
        </w:tc>
        <w:tc>
          <w:tcPr>
            <w:tcW w:w="4369" w:type="dxa"/>
            <w:vMerge/>
            <w:tcBorders>
              <w:top w:val="single" w:sz="8" w:space="0" w:color="auto"/>
              <w:left w:val="single" w:sz="8" w:space="0" w:color="000000"/>
              <w:bottom w:val="single" w:sz="8" w:space="0" w:color="000000"/>
              <w:right w:val="single" w:sz="8" w:space="0" w:color="000000"/>
            </w:tcBorders>
            <w:vAlign w:val="center"/>
            <w:hideMark/>
          </w:tcPr>
          <w:p w:rsidR="009663FC" w:rsidRPr="009663FC" w:rsidRDefault="009663FC" w:rsidP="00FA3541">
            <w:pPr>
              <w:spacing w:after="0" w:line="240" w:lineRule="auto"/>
              <w:rPr>
                <w:rFonts w:ascii="Times New Roman" w:eastAsia="Times New Roman" w:hAnsi="Times New Roman" w:cs="Times New Roman"/>
                <w:b/>
                <w:bCs/>
                <w:color w:val="000000"/>
                <w:sz w:val="20"/>
                <w:szCs w:val="20"/>
                <w:lang w:eastAsia="hr-HR"/>
              </w:rPr>
            </w:pPr>
          </w:p>
        </w:tc>
        <w:tc>
          <w:tcPr>
            <w:tcW w:w="1704" w:type="dxa"/>
            <w:vMerge/>
            <w:tcBorders>
              <w:top w:val="single" w:sz="8" w:space="0" w:color="auto"/>
              <w:left w:val="single" w:sz="8" w:space="0" w:color="000000"/>
              <w:bottom w:val="single" w:sz="8" w:space="0" w:color="000000"/>
              <w:right w:val="single" w:sz="8" w:space="0" w:color="auto"/>
            </w:tcBorders>
            <w:vAlign w:val="center"/>
            <w:hideMark/>
          </w:tcPr>
          <w:p w:rsidR="009663FC" w:rsidRPr="009663FC" w:rsidRDefault="009663FC" w:rsidP="00FA3541">
            <w:pPr>
              <w:spacing w:after="0" w:line="240" w:lineRule="auto"/>
              <w:rPr>
                <w:rFonts w:ascii="Times New Roman" w:eastAsia="Times New Roman" w:hAnsi="Times New Roman" w:cs="Times New Roman"/>
                <w:b/>
                <w:bCs/>
                <w:color w:val="000000"/>
                <w:sz w:val="20"/>
                <w:szCs w:val="20"/>
                <w:lang w:eastAsia="hr-HR"/>
              </w:rPr>
            </w:pPr>
          </w:p>
        </w:tc>
        <w:tc>
          <w:tcPr>
            <w:tcW w:w="1518" w:type="dxa"/>
            <w:vMerge/>
            <w:tcBorders>
              <w:top w:val="single" w:sz="8" w:space="0" w:color="auto"/>
              <w:left w:val="single" w:sz="8" w:space="0" w:color="auto"/>
              <w:bottom w:val="single" w:sz="8" w:space="0" w:color="000000"/>
              <w:right w:val="single" w:sz="8" w:space="0" w:color="auto"/>
            </w:tcBorders>
            <w:vAlign w:val="center"/>
            <w:hideMark/>
          </w:tcPr>
          <w:p w:rsidR="009663FC" w:rsidRPr="009663FC" w:rsidRDefault="009663FC" w:rsidP="00FA3541">
            <w:pPr>
              <w:spacing w:after="0" w:line="240" w:lineRule="auto"/>
              <w:rPr>
                <w:rFonts w:ascii="Calibri" w:eastAsia="Times New Roman" w:hAnsi="Calibri" w:cs="Times New Roman"/>
                <w:b/>
                <w:bCs/>
                <w:color w:val="000000"/>
                <w:sz w:val="20"/>
                <w:szCs w:val="20"/>
                <w:lang w:eastAsia="hr-HR"/>
              </w:rPr>
            </w:pPr>
          </w:p>
        </w:tc>
      </w:tr>
      <w:tr w:rsidR="00E733A3" w:rsidRPr="009663FC" w:rsidTr="001A0E4B">
        <w:trPr>
          <w:trHeight w:val="271"/>
        </w:trPr>
        <w:tc>
          <w:tcPr>
            <w:tcW w:w="1170" w:type="dxa"/>
            <w:tcBorders>
              <w:top w:val="nil"/>
              <w:left w:val="single" w:sz="8" w:space="0" w:color="auto"/>
              <w:bottom w:val="single" w:sz="8" w:space="0" w:color="000000"/>
              <w:right w:val="single" w:sz="8" w:space="0" w:color="000000"/>
            </w:tcBorders>
            <w:shd w:val="clear" w:color="auto" w:fill="auto"/>
            <w:hideMark/>
          </w:tcPr>
          <w:p w:rsidR="009663FC" w:rsidRPr="009663FC" w:rsidRDefault="009663FC" w:rsidP="00FA3541">
            <w:pPr>
              <w:spacing w:after="0" w:line="240" w:lineRule="auto"/>
              <w:jc w:val="both"/>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231</w:t>
            </w:r>
          </w:p>
        </w:tc>
        <w:tc>
          <w:tcPr>
            <w:tcW w:w="4369" w:type="dxa"/>
            <w:tcBorders>
              <w:top w:val="nil"/>
              <w:left w:val="nil"/>
              <w:bottom w:val="single" w:sz="8" w:space="0" w:color="000000"/>
              <w:right w:val="single" w:sz="8" w:space="0" w:color="000000"/>
            </w:tcBorders>
            <w:shd w:val="clear" w:color="auto" w:fill="auto"/>
            <w:hideMark/>
          </w:tcPr>
          <w:p w:rsidR="009663FC" w:rsidRPr="009663FC" w:rsidRDefault="009663FC" w:rsidP="00FA3541">
            <w:pPr>
              <w:spacing w:after="0" w:line="240" w:lineRule="auto"/>
              <w:jc w:val="both"/>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Obveze za zaposlene</w:t>
            </w:r>
          </w:p>
        </w:tc>
        <w:tc>
          <w:tcPr>
            <w:tcW w:w="1704" w:type="dxa"/>
            <w:tcBorders>
              <w:top w:val="nil"/>
              <w:left w:val="nil"/>
              <w:bottom w:val="single" w:sz="8" w:space="0" w:color="000000"/>
              <w:right w:val="nil"/>
            </w:tcBorders>
            <w:shd w:val="clear" w:color="auto" w:fill="auto"/>
            <w:hideMark/>
          </w:tcPr>
          <w:p w:rsidR="009663FC" w:rsidRPr="009663FC" w:rsidRDefault="009663FC" w:rsidP="00FA3541">
            <w:pPr>
              <w:spacing w:after="0" w:line="240" w:lineRule="auto"/>
              <w:jc w:val="right"/>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6.392.518</w:t>
            </w:r>
          </w:p>
        </w:tc>
        <w:tc>
          <w:tcPr>
            <w:tcW w:w="1518" w:type="dxa"/>
            <w:tcBorders>
              <w:top w:val="nil"/>
              <w:left w:val="single" w:sz="8" w:space="0" w:color="auto"/>
              <w:bottom w:val="single" w:sz="4" w:space="0" w:color="auto"/>
              <w:right w:val="single" w:sz="8" w:space="0" w:color="auto"/>
            </w:tcBorders>
            <w:shd w:val="clear" w:color="auto" w:fill="auto"/>
            <w:noWrap/>
            <w:vAlign w:val="bottom"/>
            <w:hideMark/>
          </w:tcPr>
          <w:p w:rsidR="009663FC" w:rsidRPr="009663FC" w:rsidRDefault="009663FC" w:rsidP="00FA3541">
            <w:pPr>
              <w:spacing w:after="0" w:line="240" w:lineRule="auto"/>
              <w:jc w:val="right"/>
              <w:rPr>
                <w:rFonts w:ascii="Calibri" w:eastAsia="Times New Roman" w:hAnsi="Calibri" w:cs="Times New Roman"/>
                <w:color w:val="000000"/>
                <w:lang w:eastAsia="hr-HR"/>
              </w:rPr>
            </w:pPr>
            <w:r w:rsidRPr="009663FC">
              <w:rPr>
                <w:rFonts w:ascii="Calibri" w:eastAsia="Times New Roman" w:hAnsi="Calibri" w:cs="Times New Roman"/>
                <w:color w:val="000000"/>
                <w:lang w:eastAsia="hr-HR"/>
              </w:rPr>
              <w:t>24,9%</w:t>
            </w:r>
          </w:p>
        </w:tc>
      </w:tr>
      <w:tr w:rsidR="00E733A3" w:rsidRPr="009663FC" w:rsidTr="001A0E4B">
        <w:trPr>
          <w:trHeight w:val="271"/>
        </w:trPr>
        <w:tc>
          <w:tcPr>
            <w:tcW w:w="1170" w:type="dxa"/>
            <w:tcBorders>
              <w:top w:val="nil"/>
              <w:left w:val="single" w:sz="8" w:space="0" w:color="auto"/>
              <w:bottom w:val="single" w:sz="8" w:space="0" w:color="000000"/>
              <w:right w:val="single" w:sz="8" w:space="0" w:color="000000"/>
            </w:tcBorders>
            <w:shd w:val="clear" w:color="auto" w:fill="auto"/>
            <w:hideMark/>
          </w:tcPr>
          <w:p w:rsidR="009663FC" w:rsidRPr="009663FC" w:rsidRDefault="009663FC" w:rsidP="00FA3541">
            <w:pPr>
              <w:spacing w:after="0" w:line="240" w:lineRule="auto"/>
              <w:jc w:val="both"/>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232</w:t>
            </w:r>
          </w:p>
        </w:tc>
        <w:tc>
          <w:tcPr>
            <w:tcW w:w="4369" w:type="dxa"/>
            <w:tcBorders>
              <w:top w:val="nil"/>
              <w:left w:val="nil"/>
              <w:bottom w:val="single" w:sz="8" w:space="0" w:color="000000"/>
              <w:right w:val="single" w:sz="8" w:space="0" w:color="000000"/>
            </w:tcBorders>
            <w:shd w:val="clear" w:color="auto" w:fill="auto"/>
            <w:hideMark/>
          </w:tcPr>
          <w:p w:rsidR="009663FC" w:rsidRPr="009663FC" w:rsidRDefault="009663FC" w:rsidP="00FA3541">
            <w:pPr>
              <w:spacing w:after="0" w:line="240" w:lineRule="auto"/>
              <w:jc w:val="both"/>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Obveze za materijalne rashode</w:t>
            </w:r>
          </w:p>
        </w:tc>
        <w:tc>
          <w:tcPr>
            <w:tcW w:w="1704" w:type="dxa"/>
            <w:tcBorders>
              <w:top w:val="nil"/>
              <w:left w:val="nil"/>
              <w:bottom w:val="single" w:sz="8" w:space="0" w:color="000000"/>
              <w:right w:val="nil"/>
            </w:tcBorders>
            <w:shd w:val="clear" w:color="auto" w:fill="auto"/>
            <w:hideMark/>
          </w:tcPr>
          <w:p w:rsidR="009663FC" w:rsidRPr="009663FC" w:rsidRDefault="009663FC" w:rsidP="00FA3541">
            <w:pPr>
              <w:spacing w:after="0" w:line="240" w:lineRule="auto"/>
              <w:jc w:val="right"/>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10.093.162</w:t>
            </w:r>
          </w:p>
        </w:tc>
        <w:tc>
          <w:tcPr>
            <w:tcW w:w="1518" w:type="dxa"/>
            <w:tcBorders>
              <w:top w:val="nil"/>
              <w:left w:val="single" w:sz="8" w:space="0" w:color="auto"/>
              <w:bottom w:val="single" w:sz="4" w:space="0" w:color="auto"/>
              <w:right w:val="single" w:sz="8" w:space="0" w:color="auto"/>
            </w:tcBorders>
            <w:shd w:val="clear" w:color="auto" w:fill="auto"/>
            <w:noWrap/>
            <w:vAlign w:val="bottom"/>
            <w:hideMark/>
          </w:tcPr>
          <w:p w:rsidR="009663FC" w:rsidRPr="009663FC" w:rsidRDefault="009663FC" w:rsidP="00FA3541">
            <w:pPr>
              <w:spacing w:after="0" w:line="240" w:lineRule="auto"/>
              <w:jc w:val="right"/>
              <w:rPr>
                <w:rFonts w:ascii="Calibri" w:eastAsia="Times New Roman" w:hAnsi="Calibri" w:cs="Times New Roman"/>
                <w:color w:val="000000"/>
                <w:lang w:eastAsia="hr-HR"/>
              </w:rPr>
            </w:pPr>
            <w:r w:rsidRPr="009663FC">
              <w:rPr>
                <w:rFonts w:ascii="Calibri" w:eastAsia="Times New Roman" w:hAnsi="Calibri" w:cs="Times New Roman"/>
                <w:color w:val="000000"/>
                <w:lang w:eastAsia="hr-HR"/>
              </w:rPr>
              <w:t>39,4%</w:t>
            </w:r>
          </w:p>
        </w:tc>
      </w:tr>
      <w:tr w:rsidR="00E733A3" w:rsidRPr="009663FC" w:rsidTr="001A0E4B">
        <w:trPr>
          <w:trHeight w:val="271"/>
        </w:trPr>
        <w:tc>
          <w:tcPr>
            <w:tcW w:w="1170" w:type="dxa"/>
            <w:tcBorders>
              <w:top w:val="nil"/>
              <w:left w:val="single" w:sz="8" w:space="0" w:color="auto"/>
              <w:bottom w:val="single" w:sz="8" w:space="0" w:color="000000"/>
              <w:right w:val="single" w:sz="8" w:space="0" w:color="000000"/>
            </w:tcBorders>
            <w:shd w:val="clear" w:color="auto" w:fill="auto"/>
            <w:hideMark/>
          </w:tcPr>
          <w:p w:rsidR="009663FC" w:rsidRPr="009663FC" w:rsidRDefault="009663FC" w:rsidP="00FA3541">
            <w:pPr>
              <w:spacing w:after="0" w:line="240" w:lineRule="auto"/>
              <w:jc w:val="both"/>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234</w:t>
            </w:r>
          </w:p>
        </w:tc>
        <w:tc>
          <w:tcPr>
            <w:tcW w:w="4369" w:type="dxa"/>
            <w:tcBorders>
              <w:top w:val="nil"/>
              <w:left w:val="nil"/>
              <w:bottom w:val="single" w:sz="8" w:space="0" w:color="000000"/>
              <w:right w:val="single" w:sz="8" w:space="0" w:color="000000"/>
            </w:tcBorders>
            <w:shd w:val="clear" w:color="auto" w:fill="auto"/>
            <w:hideMark/>
          </w:tcPr>
          <w:p w:rsidR="009663FC" w:rsidRPr="009663FC" w:rsidRDefault="009663FC" w:rsidP="00FA3541">
            <w:pPr>
              <w:spacing w:after="0" w:line="240" w:lineRule="auto"/>
              <w:jc w:val="both"/>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Obveze za financijske rashode</w:t>
            </w:r>
          </w:p>
        </w:tc>
        <w:tc>
          <w:tcPr>
            <w:tcW w:w="1704" w:type="dxa"/>
            <w:tcBorders>
              <w:top w:val="nil"/>
              <w:left w:val="nil"/>
              <w:bottom w:val="single" w:sz="8" w:space="0" w:color="000000"/>
              <w:right w:val="nil"/>
            </w:tcBorders>
            <w:shd w:val="clear" w:color="auto" w:fill="auto"/>
            <w:hideMark/>
          </w:tcPr>
          <w:p w:rsidR="009663FC" w:rsidRPr="009663FC" w:rsidRDefault="009663FC" w:rsidP="00FA3541">
            <w:pPr>
              <w:spacing w:after="0" w:line="240" w:lineRule="auto"/>
              <w:jc w:val="right"/>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251.299</w:t>
            </w:r>
          </w:p>
        </w:tc>
        <w:tc>
          <w:tcPr>
            <w:tcW w:w="1518" w:type="dxa"/>
            <w:tcBorders>
              <w:top w:val="nil"/>
              <w:left w:val="single" w:sz="8" w:space="0" w:color="auto"/>
              <w:bottom w:val="single" w:sz="4" w:space="0" w:color="auto"/>
              <w:right w:val="single" w:sz="8" w:space="0" w:color="auto"/>
            </w:tcBorders>
            <w:shd w:val="clear" w:color="auto" w:fill="auto"/>
            <w:noWrap/>
            <w:vAlign w:val="bottom"/>
            <w:hideMark/>
          </w:tcPr>
          <w:p w:rsidR="009663FC" w:rsidRPr="009663FC" w:rsidRDefault="009663FC" w:rsidP="00FA3541">
            <w:pPr>
              <w:spacing w:after="0" w:line="240" w:lineRule="auto"/>
              <w:jc w:val="right"/>
              <w:rPr>
                <w:rFonts w:ascii="Calibri" w:eastAsia="Times New Roman" w:hAnsi="Calibri" w:cs="Times New Roman"/>
                <w:color w:val="000000"/>
                <w:lang w:eastAsia="hr-HR"/>
              </w:rPr>
            </w:pPr>
            <w:r w:rsidRPr="009663FC">
              <w:rPr>
                <w:rFonts w:ascii="Calibri" w:eastAsia="Times New Roman" w:hAnsi="Calibri" w:cs="Times New Roman"/>
                <w:color w:val="000000"/>
                <w:lang w:eastAsia="hr-HR"/>
              </w:rPr>
              <w:t>1,0%</w:t>
            </w:r>
          </w:p>
        </w:tc>
      </w:tr>
      <w:tr w:rsidR="00E733A3" w:rsidRPr="009663FC" w:rsidTr="001A0E4B">
        <w:trPr>
          <w:trHeight w:val="271"/>
        </w:trPr>
        <w:tc>
          <w:tcPr>
            <w:tcW w:w="1170" w:type="dxa"/>
            <w:tcBorders>
              <w:top w:val="nil"/>
              <w:left w:val="single" w:sz="8" w:space="0" w:color="auto"/>
              <w:bottom w:val="single" w:sz="8" w:space="0" w:color="000000"/>
              <w:right w:val="single" w:sz="8" w:space="0" w:color="000000"/>
            </w:tcBorders>
            <w:shd w:val="clear" w:color="auto" w:fill="auto"/>
            <w:hideMark/>
          </w:tcPr>
          <w:p w:rsidR="009663FC" w:rsidRPr="009663FC" w:rsidRDefault="009663FC" w:rsidP="00FA3541">
            <w:pPr>
              <w:spacing w:after="0" w:line="240" w:lineRule="auto"/>
              <w:jc w:val="both"/>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235</w:t>
            </w:r>
          </w:p>
        </w:tc>
        <w:tc>
          <w:tcPr>
            <w:tcW w:w="4369" w:type="dxa"/>
            <w:tcBorders>
              <w:top w:val="nil"/>
              <w:left w:val="nil"/>
              <w:bottom w:val="single" w:sz="8" w:space="0" w:color="000000"/>
              <w:right w:val="single" w:sz="8" w:space="0" w:color="000000"/>
            </w:tcBorders>
            <w:shd w:val="clear" w:color="auto" w:fill="auto"/>
            <w:hideMark/>
          </w:tcPr>
          <w:p w:rsidR="009663FC" w:rsidRPr="009663FC" w:rsidRDefault="009663FC" w:rsidP="00FA3541">
            <w:pPr>
              <w:spacing w:after="0" w:line="240" w:lineRule="auto"/>
              <w:jc w:val="both"/>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Obveze za subvencije</w:t>
            </w:r>
          </w:p>
        </w:tc>
        <w:tc>
          <w:tcPr>
            <w:tcW w:w="1704" w:type="dxa"/>
            <w:tcBorders>
              <w:top w:val="nil"/>
              <w:left w:val="nil"/>
              <w:bottom w:val="single" w:sz="8" w:space="0" w:color="000000"/>
              <w:right w:val="nil"/>
            </w:tcBorders>
            <w:shd w:val="clear" w:color="auto" w:fill="auto"/>
            <w:hideMark/>
          </w:tcPr>
          <w:p w:rsidR="009663FC" w:rsidRPr="009663FC" w:rsidRDefault="009663FC" w:rsidP="00FA3541">
            <w:pPr>
              <w:spacing w:after="0" w:line="240" w:lineRule="auto"/>
              <w:jc w:val="right"/>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79.958</w:t>
            </w:r>
          </w:p>
        </w:tc>
        <w:tc>
          <w:tcPr>
            <w:tcW w:w="1518" w:type="dxa"/>
            <w:tcBorders>
              <w:top w:val="nil"/>
              <w:left w:val="single" w:sz="8" w:space="0" w:color="auto"/>
              <w:bottom w:val="single" w:sz="4" w:space="0" w:color="auto"/>
              <w:right w:val="single" w:sz="8" w:space="0" w:color="auto"/>
            </w:tcBorders>
            <w:shd w:val="clear" w:color="auto" w:fill="auto"/>
            <w:noWrap/>
            <w:vAlign w:val="bottom"/>
            <w:hideMark/>
          </w:tcPr>
          <w:p w:rsidR="009663FC" w:rsidRPr="009663FC" w:rsidRDefault="009663FC" w:rsidP="00FA3541">
            <w:pPr>
              <w:spacing w:after="0" w:line="240" w:lineRule="auto"/>
              <w:jc w:val="right"/>
              <w:rPr>
                <w:rFonts w:ascii="Calibri" w:eastAsia="Times New Roman" w:hAnsi="Calibri" w:cs="Times New Roman"/>
                <w:color w:val="000000"/>
                <w:lang w:eastAsia="hr-HR"/>
              </w:rPr>
            </w:pPr>
            <w:r w:rsidRPr="009663FC">
              <w:rPr>
                <w:rFonts w:ascii="Calibri" w:eastAsia="Times New Roman" w:hAnsi="Calibri" w:cs="Times New Roman"/>
                <w:color w:val="000000"/>
                <w:lang w:eastAsia="hr-HR"/>
              </w:rPr>
              <w:t>0,3%</w:t>
            </w:r>
          </w:p>
        </w:tc>
      </w:tr>
      <w:tr w:rsidR="00E733A3" w:rsidRPr="009663FC" w:rsidTr="001A0E4B">
        <w:trPr>
          <w:trHeight w:val="271"/>
        </w:trPr>
        <w:tc>
          <w:tcPr>
            <w:tcW w:w="1170" w:type="dxa"/>
            <w:tcBorders>
              <w:top w:val="nil"/>
              <w:left w:val="single" w:sz="8" w:space="0" w:color="auto"/>
              <w:bottom w:val="single" w:sz="8" w:space="0" w:color="000000"/>
              <w:right w:val="single" w:sz="8" w:space="0" w:color="000000"/>
            </w:tcBorders>
            <w:shd w:val="clear" w:color="auto" w:fill="auto"/>
            <w:vAlign w:val="center"/>
            <w:hideMark/>
          </w:tcPr>
          <w:p w:rsidR="009663FC" w:rsidRPr="009663FC" w:rsidRDefault="009663FC" w:rsidP="001A0E4B">
            <w:pPr>
              <w:spacing w:after="0" w:line="240" w:lineRule="auto"/>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237</w:t>
            </w:r>
          </w:p>
        </w:tc>
        <w:tc>
          <w:tcPr>
            <w:tcW w:w="4369" w:type="dxa"/>
            <w:tcBorders>
              <w:top w:val="nil"/>
              <w:left w:val="nil"/>
              <w:bottom w:val="single" w:sz="8" w:space="0" w:color="000000"/>
              <w:right w:val="single" w:sz="8" w:space="0" w:color="000000"/>
            </w:tcBorders>
            <w:shd w:val="clear" w:color="auto" w:fill="auto"/>
            <w:hideMark/>
          </w:tcPr>
          <w:p w:rsidR="009663FC" w:rsidRPr="009663FC" w:rsidRDefault="009663FC" w:rsidP="001A0E4B">
            <w:pPr>
              <w:spacing w:after="0" w:line="240" w:lineRule="auto"/>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Obveze za naknade građanima i kućanstvima</w:t>
            </w:r>
          </w:p>
        </w:tc>
        <w:tc>
          <w:tcPr>
            <w:tcW w:w="1704" w:type="dxa"/>
            <w:tcBorders>
              <w:top w:val="nil"/>
              <w:left w:val="nil"/>
              <w:bottom w:val="single" w:sz="8" w:space="0" w:color="000000"/>
              <w:right w:val="nil"/>
            </w:tcBorders>
            <w:shd w:val="clear" w:color="auto" w:fill="auto"/>
            <w:vAlign w:val="center"/>
            <w:hideMark/>
          </w:tcPr>
          <w:p w:rsidR="009663FC" w:rsidRPr="009663FC" w:rsidRDefault="009663FC" w:rsidP="001A0E4B">
            <w:pPr>
              <w:spacing w:after="0" w:line="240" w:lineRule="auto"/>
              <w:jc w:val="right"/>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136.093</w:t>
            </w:r>
          </w:p>
        </w:tc>
        <w:tc>
          <w:tcPr>
            <w:tcW w:w="1518" w:type="dxa"/>
            <w:tcBorders>
              <w:top w:val="nil"/>
              <w:left w:val="single" w:sz="8" w:space="0" w:color="auto"/>
              <w:bottom w:val="single" w:sz="4" w:space="0" w:color="auto"/>
              <w:right w:val="single" w:sz="8" w:space="0" w:color="auto"/>
            </w:tcBorders>
            <w:shd w:val="clear" w:color="auto" w:fill="auto"/>
            <w:noWrap/>
            <w:vAlign w:val="center"/>
            <w:hideMark/>
          </w:tcPr>
          <w:p w:rsidR="009663FC" w:rsidRPr="009663FC" w:rsidRDefault="009663FC" w:rsidP="001A0E4B">
            <w:pPr>
              <w:spacing w:after="0" w:line="240" w:lineRule="auto"/>
              <w:jc w:val="right"/>
              <w:rPr>
                <w:rFonts w:ascii="Calibri" w:eastAsia="Times New Roman" w:hAnsi="Calibri" w:cs="Times New Roman"/>
                <w:color w:val="000000"/>
                <w:lang w:eastAsia="hr-HR"/>
              </w:rPr>
            </w:pPr>
            <w:r w:rsidRPr="009663FC">
              <w:rPr>
                <w:rFonts w:ascii="Calibri" w:eastAsia="Times New Roman" w:hAnsi="Calibri" w:cs="Times New Roman"/>
                <w:color w:val="000000"/>
                <w:lang w:eastAsia="hr-HR"/>
              </w:rPr>
              <w:t>0,5%</w:t>
            </w:r>
          </w:p>
        </w:tc>
      </w:tr>
      <w:tr w:rsidR="00E733A3" w:rsidRPr="009663FC" w:rsidTr="001A0E4B">
        <w:trPr>
          <w:trHeight w:val="271"/>
        </w:trPr>
        <w:tc>
          <w:tcPr>
            <w:tcW w:w="1170" w:type="dxa"/>
            <w:tcBorders>
              <w:top w:val="nil"/>
              <w:left w:val="single" w:sz="8" w:space="0" w:color="auto"/>
              <w:bottom w:val="single" w:sz="8" w:space="0" w:color="000000"/>
              <w:right w:val="single" w:sz="8" w:space="0" w:color="000000"/>
            </w:tcBorders>
            <w:shd w:val="clear" w:color="auto" w:fill="auto"/>
            <w:hideMark/>
          </w:tcPr>
          <w:p w:rsidR="009663FC" w:rsidRPr="009663FC" w:rsidRDefault="009663FC" w:rsidP="00FA3541">
            <w:pPr>
              <w:spacing w:after="0" w:line="240" w:lineRule="auto"/>
              <w:jc w:val="both"/>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2392</w:t>
            </w:r>
          </w:p>
        </w:tc>
        <w:tc>
          <w:tcPr>
            <w:tcW w:w="4369" w:type="dxa"/>
            <w:tcBorders>
              <w:top w:val="nil"/>
              <w:left w:val="nil"/>
              <w:bottom w:val="single" w:sz="8" w:space="0" w:color="000000"/>
              <w:right w:val="single" w:sz="8" w:space="0" w:color="000000"/>
            </w:tcBorders>
            <w:shd w:val="clear" w:color="auto" w:fill="auto"/>
            <w:hideMark/>
          </w:tcPr>
          <w:p w:rsidR="009663FC" w:rsidRPr="009663FC" w:rsidRDefault="009663FC" w:rsidP="00FA3541">
            <w:pPr>
              <w:spacing w:after="0" w:line="240" w:lineRule="auto"/>
              <w:jc w:val="both"/>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Obveze za porez na dodanu vrijednost</w:t>
            </w:r>
          </w:p>
        </w:tc>
        <w:tc>
          <w:tcPr>
            <w:tcW w:w="1704" w:type="dxa"/>
            <w:tcBorders>
              <w:top w:val="nil"/>
              <w:left w:val="nil"/>
              <w:bottom w:val="single" w:sz="8" w:space="0" w:color="000000"/>
              <w:right w:val="nil"/>
            </w:tcBorders>
            <w:shd w:val="clear" w:color="auto" w:fill="auto"/>
            <w:hideMark/>
          </w:tcPr>
          <w:p w:rsidR="009663FC" w:rsidRPr="009663FC" w:rsidRDefault="009663FC" w:rsidP="00FA3541">
            <w:pPr>
              <w:spacing w:after="0" w:line="240" w:lineRule="auto"/>
              <w:jc w:val="right"/>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1.635.008</w:t>
            </w:r>
          </w:p>
        </w:tc>
        <w:tc>
          <w:tcPr>
            <w:tcW w:w="1518" w:type="dxa"/>
            <w:tcBorders>
              <w:top w:val="nil"/>
              <w:left w:val="single" w:sz="8" w:space="0" w:color="auto"/>
              <w:bottom w:val="single" w:sz="4" w:space="0" w:color="auto"/>
              <w:right w:val="single" w:sz="8" w:space="0" w:color="auto"/>
            </w:tcBorders>
            <w:shd w:val="clear" w:color="auto" w:fill="auto"/>
            <w:noWrap/>
            <w:vAlign w:val="bottom"/>
            <w:hideMark/>
          </w:tcPr>
          <w:p w:rsidR="009663FC" w:rsidRPr="009663FC" w:rsidRDefault="009663FC" w:rsidP="00FA3541">
            <w:pPr>
              <w:spacing w:after="0" w:line="240" w:lineRule="auto"/>
              <w:jc w:val="right"/>
              <w:rPr>
                <w:rFonts w:ascii="Calibri" w:eastAsia="Times New Roman" w:hAnsi="Calibri" w:cs="Times New Roman"/>
                <w:color w:val="000000"/>
                <w:lang w:eastAsia="hr-HR"/>
              </w:rPr>
            </w:pPr>
            <w:r w:rsidRPr="009663FC">
              <w:rPr>
                <w:rFonts w:ascii="Calibri" w:eastAsia="Times New Roman" w:hAnsi="Calibri" w:cs="Times New Roman"/>
                <w:color w:val="000000"/>
                <w:lang w:eastAsia="hr-HR"/>
              </w:rPr>
              <w:t>6,4%</w:t>
            </w:r>
          </w:p>
        </w:tc>
      </w:tr>
      <w:tr w:rsidR="00E733A3" w:rsidRPr="009663FC" w:rsidTr="001A0E4B">
        <w:trPr>
          <w:trHeight w:val="271"/>
        </w:trPr>
        <w:tc>
          <w:tcPr>
            <w:tcW w:w="1170" w:type="dxa"/>
            <w:tcBorders>
              <w:top w:val="nil"/>
              <w:left w:val="single" w:sz="8" w:space="0" w:color="auto"/>
              <w:bottom w:val="single" w:sz="8" w:space="0" w:color="000000"/>
              <w:right w:val="single" w:sz="8" w:space="0" w:color="000000"/>
            </w:tcBorders>
            <w:shd w:val="clear" w:color="auto" w:fill="auto"/>
            <w:hideMark/>
          </w:tcPr>
          <w:p w:rsidR="009663FC" w:rsidRPr="009663FC" w:rsidRDefault="009663FC" w:rsidP="00FA3541">
            <w:pPr>
              <w:spacing w:after="0" w:line="240" w:lineRule="auto"/>
              <w:jc w:val="both"/>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23954</w:t>
            </w:r>
          </w:p>
        </w:tc>
        <w:tc>
          <w:tcPr>
            <w:tcW w:w="4369" w:type="dxa"/>
            <w:tcBorders>
              <w:top w:val="nil"/>
              <w:left w:val="nil"/>
              <w:bottom w:val="single" w:sz="8" w:space="0" w:color="000000"/>
              <w:right w:val="single" w:sz="8" w:space="0" w:color="000000"/>
            </w:tcBorders>
            <w:shd w:val="clear" w:color="auto" w:fill="auto"/>
            <w:hideMark/>
          </w:tcPr>
          <w:p w:rsidR="009663FC" w:rsidRPr="009663FC" w:rsidRDefault="009663FC" w:rsidP="00FA3541">
            <w:pPr>
              <w:spacing w:after="0" w:line="240" w:lineRule="auto"/>
              <w:jc w:val="both"/>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Ostale nespomenute obveze</w:t>
            </w:r>
          </w:p>
        </w:tc>
        <w:tc>
          <w:tcPr>
            <w:tcW w:w="1704" w:type="dxa"/>
            <w:tcBorders>
              <w:top w:val="nil"/>
              <w:left w:val="nil"/>
              <w:bottom w:val="single" w:sz="8" w:space="0" w:color="000000"/>
              <w:right w:val="nil"/>
            </w:tcBorders>
            <w:shd w:val="clear" w:color="auto" w:fill="auto"/>
            <w:hideMark/>
          </w:tcPr>
          <w:p w:rsidR="009663FC" w:rsidRPr="009663FC" w:rsidRDefault="009663FC" w:rsidP="00FA3541">
            <w:pPr>
              <w:spacing w:after="0" w:line="240" w:lineRule="auto"/>
              <w:jc w:val="right"/>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674.491</w:t>
            </w:r>
          </w:p>
        </w:tc>
        <w:tc>
          <w:tcPr>
            <w:tcW w:w="1518" w:type="dxa"/>
            <w:tcBorders>
              <w:top w:val="nil"/>
              <w:left w:val="single" w:sz="8" w:space="0" w:color="auto"/>
              <w:bottom w:val="single" w:sz="4" w:space="0" w:color="auto"/>
              <w:right w:val="single" w:sz="8" w:space="0" w:color="auto"/>
            </w:tcBorders>
            <w:shd w:val="clear" w:color="auto" w:fill="auto"/>
            <w:noWrap/>
            <w:vAlign w:val="bottom"/>
            <w:hideMark/>
          </w:tcPr>
          <w:p w:rsidR="009663FC" w:rsidRPr="009663FC" w:rsidRDefault="009663FC" w:rsidP="00FA3541">
            <w:pPr>
              <w:spacing w:after="0" w:line="240" w:lineRule="auto"/>
              <w:jc w:val="right"/>
              <w:rPr>
                <w:rFonts w:ascii="Calibri" w:eastAsia="Times New Roman" w:hAnsi="Calibri" w:cs="Times New Roman"/>
                <w:color w:val="000000"/>
                <w:lang w:eastAsia="hr-HR"/>
              </w:rPr>
            </w:pPr>
            <w:r w:rsidRPr="009663FC">
              <w:rPr>
                <w:rFonts w:ascii="Calibri" w:eastAsia="Times New Roman" w:hAnsi="Calibri" w:cs="Times New Roman"/>
                <w:color w:val="000000"/>
                <w:lang w:eastAsia="hr-HR"/>
              </w:rPr>
              <w:t>2,6%</w:t>
            </w:r>
          </w:p>
        </w:tc>
      </w:tr>
      <w:tr w:rsidR="00E733A3" w:rsidRPr="009663FC" w:rsidTr="001A0E4B">
        <w:trPr>
          <w:trHeight w:val="271"/>
        </w:trPr>
        <w:tc>
          <w:tcPr>
            <w:tcW w:w="1170" w:type="dxa"/>
            <w:tcBorders>
              <w:top w:val="nil"/>
              <w:left w:val="single" w:sz="8" w:space="0" w:color="auto"/>
              <w:bottom w:val="single" w:sz="8" w:space="0" w:color="000000"/>
              <w:right w:val="single" w:sz="8" w:space="0" w:color="000000"/>
            </w:tcBorders>
            <w:shd w:val="clear" w:color="auto" w:fill="auto"/>
            <w:hideMark/>
          </w:tcPr>
          <w:p w:rsidR="009663FC" w:rsidRPr="009663FC" w:rsidRDefault="009663FC" w:rsidP="00FA3541">
            <w:pPr>
              <w:spacing w:after="0" w:line="240" w:lineRule="auto"/>
              <w:jc w:val="both"/>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24</w:t>
            </w:r>
          </w:p>
        </w:tc>
        <w:tc>
          <w:tcPr>
            <w:tcW w:w="4369" w:type="dxa"/>
            <w:tcBorders>
              <w:top w:val="nil"/>
              <w:left w:val="nil"/>
              <w:bottom w:val="single" w:sz="8" w:space="0" w:color="000000"/>
              <w:right w:val="single" w:sz="8" w:space="0" w:color="000000"/>
            </w:tcBorders>
            <w:shd w:val="clear" w:color="auto" w:fill="auto"/>
            <w:hideMark/>
          </w:tcPr>
          <w:p w:rsidR="009663FC" w:rsidRPr="009663FC" w:rsidRDefault="009663FC" w:rsidP="00FA3541">
            <w:pPr>
              <w:spacing w:after="0" w:line="240" w:lineRule="auto"/>
              <w:jc w:val="both"/>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Obveze za nabavu nefinancijske imovine</w:t>
            </w:r>
          </w:p>
        </w:tc>
        <w:tc>
          <w:tcPr>
            <w:tcW w:w="1704" w:type="dxa"/>
            <w:tcBorders>
              <w:top w:val="nil"/>
              <w:left w:val="nil"/>
              <w:bottom w:val="single" w:sz="8" w:space="0" w:color="000000"/>
              <w:right w:val="nil"/>
            </w:tcBorders>
            <w:shd w:val="clear" w:color="auto" w:fill="auto"/>
            <w:hideMark/>
          </w:tcPr>
          <w:p w:rsidR="009663FC" w:rsidRPr="009663FC" w:rsidRDefault="009663FC" w:rsidP="00FA3541">
            <w:pPr>
              <w:spacing w:after="0" w:line="240" w:lineRule="auto"/>
              <w:jc w:val="right"/>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6.376.615</w:t>
            </w:r>
          </w:p>
        </w:tc>
        <w:tc>
          <w:tcPr>
            <w:tcW w:w="1518" w:type="dxa"/>
            <w:tcBorders>
              <w:top w:val="nil"/>
              <w:left w:val="single" w:sz="8" w:space="0" w:color="auto"/>
              <w:bottom w:val="single" w:sz="4" w:space="0" w:color="auto"/>
              <w:right w:val="single" w:sz="8" w:space="0" w:color="auto"/>
            </w:tcBorders>
            <w:shd w:val="clear" w:color="auto" w:fill="auto"/>
            <w:noWrap/>
            <w:vAlign w:val="bottom"/>
            <w:hideMark/>
          </w:tcPr>
          <w:p w:rsidR="009663FC" w:rsidRPr="009663FC" w:rsidRDefault="009663FC" w:rsidP="00FA3541">
            <w:pPr>
              <w:spacing w:after="0" w:line="240" w:lineRule="auto"/>
              <w:jc w:val="right"/>
              <w:rPr>
                <w:rFonts w:ascii="Calibri" w:eastAsia="Times New Roman" w:hAnsi="Calibri" w:cs="Times New Roman"/>
                <w:color w:val="000000"/>
                <w:lang w:eastAsia="hr-HR"/>
              </w:rPr>
            </w:pPr>
            <w:r w:rsidRPr="009663FC">
              <w:rPr>
                <w:rFonts w:ascii="Calibri" w:eastAsia="Times New Roman" w:hAnsi="Calibri" w:cs="Times New Roman"/>
                <w:color w:val="000000"/>
                <w:lang w:eastAsia="hr-HR"/>
              </w:rPr>
              <w:t>24,9%</w:t>
            </w:r>
          </w:p>
        </w:tc>
      </w:tr>
      <w:tr w:rsidR="00E733A3" w:rsidRPr="009663FC" w:rsidTr="001A0E4B">
        <w:trPr>
          <w:trHeight w:val="271"/>
        </w:trPr>
        <w:tc>
          <w:tcPr>
            <w:tcW w:w="1170" w:type="dxa"/>
            <w:tcBorders>
              <w:top w:val="nil"/>
              <w:left w:val="single" w:sz="8" w:space="0" w:color="auto"/>
              <w:bottom w:val="single" w:sz="8" w:space="0" w:color="auto"/>
              <w:right w:val="single" w:sz="8" w:space="0" w:color="000000"/>
            </w:tcBorders>
            <w:shd w:val="clear" w:color="000000" w:fill="C0C0C0"/>
            <w:vAlign w:val="bottom"/>
            <w:hideMark/>
          </w:tcPr>
          <w:p w:rsidR="009663FC" w:rsidRPr="009663FC" w:rsidRDefault="009663FC" w:rsidP="00FA3541">
            <w:pPr>
              <w:spacing w:after="0" w:line="240" w:lineRule="auto"/>
              <w:jc w:val="both"/>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2</w:t>
            </w:r>
          </w:p>
        </w:tc>
        <w:tc>
          <w:tcPr>
            <w:tcW w:w="4369" w:type="dxa"/>
            <w:tcBorders>
              <w:top w:val="nil"/>
              <w:left w:val="nil"/>
              <w:bottom w:val="single" w:sz="8" w:space="0" w:color="auto"/>
              <w:right w:val="single" w:sz="8" w:space="0" w:color="000000"/>
            </w:tcBorders>
            <w:shd w:val="clear" w:color="000000" w:fill="C0C0C0"/>
            <w:vAlign w:val="bottom"/>
            <w:hideMark/>
          </w:tcPr>
          <w:p w:rsidR="009663FC" w:rsidRPr="009663FC" w:rsidRDefault="009663FC" w:rsidP="00FA3541">
            <w:pPr>
              <w:spacing w:after="0" w:line="240" w:lineRule="auto"/>
              <w:jc w:val="both"/>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Obveze</w:t>
            </w:r>
          </w:p>
        </w:tc>
        <w:tc>
          <w:tcPr>
            <w:tcW w:w="1704" w:type="dxa"/>
            <w:tcBorders>
              <w:top w:val="nil"/>
              <w:left w:val="nil"/>
              <w:bottom w:val="single" w:sz="8" w:space="0" w:color="auto"/>
              <w:right w:val="nil"/>
            </w:tcBorders>
            <w:shd w:val="clear" w:color="000000" w:fill="C0C0C0"/>
            <w:vAlign w:val="bottom"/>
            <w:hideMark/>
          </w:tcPr>
          <w:p w:rsidR="009663FC" w:rsidRPr="009663FC" w:rsidRDefault="009663FC" w:rsidP="00FA3541">
            <w:pPr>
              <w:spacing w:after="0" w:line="240" w:lineRule="auto"/>
              <w:jc w:val="right"/>
              <w:rPr>
                <w:rFonts w:ascii="Times New Roman" w:eastAsia="Times New Roman" w:hAnsi="Times New Roman" w:cs="Times New Roman"/>
                <w:b/>
                <w:bCs/>
                <w:color w:val="000000"/>
                <w:lang w:eastAsia="hr-HR"/>
              </w:rPr>
            </w:pPr>
            <w:r w:rsidRPr="009663FC">
              <w:rPr>
                <w:rFonts w:ascii="Times New Roman" w:eastAsia="Times New Roman" w:hAnsi="Times New Roman" w:cs="Times New Roman"/>
                <w:b/>
                <w:bCs/>
                <w:color w:val="000000"/>
                <w:lang w:eastAsia="hr-HR"/>
              </w:rPr>
              <w:t>25.639.144</w:t>
            </w:r>
          </w:p>
        </w:tc>
        <w:tc>
          <w:tcPr>
            <w:tcW w:w="1518"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9663FC" w:rsidRPr="009663FC" w:rsidRDefault="009663FC" w:rsidP="00FA3541">
            <w:pPr>
              <w:spacing w:after="0" w:line="240" w:lineRule="auto"/>
              <w:jc w:val="right"/>
              <w:rPr>
                <w:rFonts w:ascii="Calibri" w:eastAsia="Times New Roman" w:hAnsi="Calibri" w:cs="Times New Roman"/>
                <w:color w:val="000000"/>
                <w:lang w:eastAsia="hr-HR"/>
              </w:rPr>
            </w:pPr>
            <w:r w:rsidRPr="009663FC">
              <w:rPr>
                <w:rFonts w:ascii="Calibri" w:eastAsia="Times New Roman" w:hAnsi="Calibri" w:cs="Times New Roman"/>
                <w:color w:val="000000"/>
                <w:lang w:eastAsia="hr-HR"/>
              </w:rPr>
              <w:t>100,0%</w:t>
            </w:r>
          </w:p>
        </w:tc>
      </w:tr>
    </w:tbl>
    <w:p w:rsidR="00E733A3" w:rsidRDefault="00E733A3" w:rsidP="00792A1F">
      <w:pPr>
        <w:jc w:val="both"/>
        <w:rPr>
          <w:rFonts w:ascii="Times New Roman" w:hAnsi="Times New Roman" w:cs="Times New Roman"/>
        </w:rPr>
      </w:pPr>
    </w:p>
    <w:p w:rsidR="00E733A3" w:rsidRDefault="00E733A3" w:rsidP="00792A1F">
      <w:pPr>
        <w:jc w:val="both"/>
        <w:rPr>
          <w:rFonts w:ascii="Times New Roman" w:hAnsi="Times New Roman" w:cs="Times New Roman"/>
        </w:rPr>
      </w:pPr>
    </w:p>
    <w:p w:rsidR="00E733A3" w:rsidRPr="00E733A3" w:rsidRDefault="00E733A3" w:rsidP="00792A1F">
      <w:pPr>
        <w:jc w:val="both"/>
        <w:rPr>
          <w:rFonts w:ascii="Times New Roman" w:hAnsi="Times New Roman" w:cs="Times New Roman"/>
          <w:b/>
          <w:i/>
        </w:rPr>
      </w:pPr>
    </w:p>
    <w:p w:rsidR="00E733A3" w:rsidRPr="00E733A3" w:rsidRDefault="00E733A3" w:rsidP="00792A1F">
      <w:pPr>
        <w:jc w:val="both"/>
        <w:rPr>
          <w:rFonts w:ascii="Times New Roman" w:hAnsi="Times New Roman" w:cs="Times New Roman"/>
          <w:b/>
          <w:i/>
        </w:rPr>
      </w:pPr>
      <w:r w:rsidRPr="00E733A3">
        <w:rPr>
          <w:rFonts w:ascii="Times New Roman" w:hAnsi="Times New Roman" w:cs="Times New Roman"/>
          <w:b/>
          <w:i/>
        </w:rPr>
        <w:t>Graf</w:t>
      </w:r>
      <w:r>
        <w:rPr>
          <w:rFonts w:ascii="Times New Roman" w:hAnsi="Times New Roman" w:cs="Times New Roman"/>
          <w:b/>
          <w:i/>
        </w:rPr>
        <w:t>ikon</w:t>
      </w:r>
      <w:r w:rsidR="008F1511">
        <w:rPr>
          <w:rFonts w:ascii="Times New Roman" w:hAnsi="Times New Roman" w:cs="Times New Roman"/>
          <w:b/>
          <w:i/>
        </w:rPr>
        <w:t xml:space="preserve"> 1 - Obveze</w:t>
      </w:r>
      <w:r w:rsidRPr="00E733A3">
        <w:rPr>
          <w:rFonts w:ascii="Times New Roman" w:hAnsi="Times New Roman" w:cs="Times New Roman"/>
          <w:b/>
          <w:i/>
        </w:rPr>
        <w:t xml:space="preserve"> na dan 31.12.2014. godine</w:t>
      </w:r>
    </w:p>
    <w:p w:rsidR="00E733A3" w:rsidRDefault="00E733A3" w:rsidP="00792A1F">
      <w:pPr>
        <w:jc w:val="both"/>
        <w:rPr>
          <w:rFonts w:ascii="Times New Roman" w:hAnsi="Times New Roman" w:cs="Times New Roman"/>
        </w:rPr>
      </w:pPr>
      <w:r w:rsidRPr="00E733A3">
        <w:rPr>
          <w:rFonts w:ascii="Times New Roman" w:hAnsi="Times New Roman" w:cs="Times New Roman"/>
          <w:noProof/>
          <w:lang w:eastAsia="hr-HR"/>
        </w:rPr>
        <w:drawing>
          <wp:inline distT="0" distB="0" distL="0" distR="0">
            <wp:extent cx="5229225" cy="3981449"/>
            <wp:effectExtent l="0" t="0" r="0"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F1511" w:rsidRDefault="008F1511" w:rsidP="008F1511">
      <w:pPr>
        <w:jc w:val="both"/>
        <w:rPr>
          <w:rFonts w:ascii="Times New Roman" w:hAnsi="Times New Roman" w:cs="Times New Roman"/>
        </w:rPr>
      </w:pPr>
    </w:p>
    <w:p w:rsidR="008F1511" w:rsidRDefault="008F1511" w:rsidP="008F1511">
      <w:pPr>
        <w:jc w:val="both"/>
        <w:rPr>
          <w:rFonts w:ascii="Times New Roman" w:hAnsi="Times New Roman" w:cs="Times New Roman"/>
        </w:rPr>
      </w:pPr>
      <w:r>
        <w:rPr>
          <w:rFonts w:ascii="Times New Roman" w:hAnsi="Times New Roman" w:cs="Times New Roman"/>
        </w:rPr>
        <w:t>Na dan 31.12.2014. godine dospjele obveze iznose 4.596.715 kn, od čega se na obveze za rashode poslovanja odnosi iznos od 3.457.165 kn, odnosno za materijalne rashode 3.029.057  kn, za financijske rashode 117.461 kn, obveze za naknade građanima i kućanstvima u iznosu od 4.164 kn te za kazne, naknade šteta i kapitalne pomoći te ostale tekuće obveze u iznosu od 306.482 kn. Dospjele obveze za nabavu nefinancijske imovine iznose 1.139.551 kn.</w:t>
      </w:r>
    </w:p>
    <w:p w:rsidR="008F1511" w:rsidRDefault="008F1511" w:rsidP="008F1511">
      <w:pPr>
        <w:jc w:val="both"/>
        <w:rPr>
          <w:rFonts w:ascii="Times New Roman" w:hAnsi="Times New Roman" w:cs="Times New Roman"/>
        </w:rPr>
      </w:pPr>
      <w:r>
        <w:rPr>
          <w:rFonts w:ascii="Times New Roman" w:hAnsi="Times New Roman" w:cs="Times New Roman"/>
        </w:rPr>
        <w:t>Stanje nedospjelih obveza na dan 31.12. 2014. godine iznosi 21.042.429 kn od čega se na obveze za rashode poslovanja odnosi iznos od 15.805.365 kn, dok obveze za nabave nefinancijske imovine iznose 5.237.064 kn.</w:t>
      </w:r>
    </w:p>
    <w:p w:rsidR="001A0E4B" w:rsidRDefault="001A0E4B" w:rsidP="001A0E4B">
      <w:pPr>
        <w:jc w:val="both"/>
        <w:rPr>
          <w:rFonts w:ascii="Times New Roman" w:hAnsi="Times New Roman" w:cs="Times New Roman"/>
        </w:rPr>
      </w:pPr>
    </w:p>
    <w:p w:rsidR="00792A1F" w:rsidRPr="00E733A3" w:rsidRDefault="001A0E4B" w:rsidP="00792A1F">
      <w:pPr>
        <w:spacing w:after="0" w:line="240" w:lineRule="auto"/>
        <w:jc w:val="both"/>
        <w:rPr>
          <w:rFonts w:ascii="Times New Roman" w:hAnsi="Times New Roman" w:cs="Times New Roman"/>
          <w:b/>
          <w:i/>
        </w:rPr>
      </w:pPr>
      <w:r w:rsidRPr="00E733A3">
        <w:rPr>
          <w:rFonts w:ascii="Times New Roman" w:hAnsi="Times New Roman" w:cs="Times New Roman"/>
          <w:b/>
          <w:i/>
        </w:rPr>
        <w:t>Tablica 2 – Stanje dospjelih i nedospjelih obveza na dan 31.12.2014. godine</w:t>
      </w:r>
    </w:p>
    <w:p w:rsidR="00BF70A6" w:rsidRDefault="00BF70A6" w:rsidP="00BF70A6">
      <w:pPr>
        <w:spacing w:after="0" w:line="240" w:lineRule="auto"/>
        <w:jc w:val="both"/>
        <w:rPr>
          <w:rFonts w:ascii="Times New Roman" w:hAnsi="Times New Roman" w:cs="Times New Roman"/>
        </w:rPr>
      </w:pPr>
    </w:p>
    <w:tbl>
      <w:tblPr>
        <w:tblW w:w="8360" w:type="dxa"/>
        <w:tblInd w:w="98" w:type="dxa"/>
        <w:tblLook w:val="04A0"/>
      </w:tblPr>
      <w:tblGrid>
        <w:gridCol w:w="419"/>
        <w:gridCol w:w="5858"/>
        <w:gridCol w:w="1318"/>
        <w:gridCol w:w="1192"/>
      </w:tblGrid>
      <w:tr w:rsidR="00C14D26" w:rsidRPr="00C14D26" w:rsidTr="004927A2">
        <w:trPr>
          <w:trHeight w:val="555"/>
        </w:trPr>
        <w:tc>
          <w:tcPr>
            <w:tcW w:w="6120" w:type="dxa"/>
            <w:gridSpan w:val="2"/>
            <w:tcBorders>
              <w:top w:val="single" w:sz="8" w:space="0" w:color="auto"/>
              <w:left w:val="single" w:sz="8" w:space="0" w:color="auto"/>
              <w:bottom w:val="single" w:sz="8" w:space="0" w:color="auto"/>
              <w:right w:val="single" w:sz="4" w:space="0" w:color="000000"/>
            </w:tcBorders>
            <w:shd w:val="clear" w:color="000000" w:fill="D8D8D8"/>
            <w:vAlign w:val="center"/>
            <w:hideMark/>
          </w:tcPr>
          <w:p w:rsidR="00C14D26" w:rsidRPr="00C14D26" w:rsidRDefault="00C14D26" w:rsidP="00C14D26">
            <w:pPr>
              <w:spacing w:after="0" w:line="240" w:lineRule="auto"/>
              <w:rPr>
                <w:rFonts w:ascii="Calibri" w:eastAsia="Times New Roman" w:hAnsi="Calibri" w:cs="Times New Roman"/>
                <w:b/>
                <w:bCs/>
                <w:color w:val="000000"/>
                <w:sz w:val="24"/>
                <w:szCs w:val="24"/>
                <w:lang w:eastAsia="hr-HR"/>
              </w:rPr>
            </w:pPr>
            <w:r w:rsidRPr="00C14D26">
              <w:rPr>
                <w:rFonts w:ascii="Calibri" w:eastAsia="Times New Roman" w:hAnsi="Calibri" w:cs="Times New Roman"/>
                <w:b/>
                <w:bCs/>
                <w:color w:val="000000"/>
                <w:sz w:val="24"/>
                <w:szCs w:val="24"/>
                <w:lang w:eastAsia="hr-HR"/>
              </w:rPr>
              <w:t>NAZIV</w:t>
            </w:r>
          </w:p>
        </w:tc>
        <w:tc>
          <w:tcPr>
            <w:tcW w:w="1180" w:type="dxa"/>
            <w:tcBorders>
              <w:top w:val="single" w:sz="8" w:space="0" w:color="auto"/>
              <w:left w:val="nil"/>
              <w:bottom w:val="single" w:sz="8" w:space="0" w:color="auto"/>
              <w:right w:val="single" w:sz="4" w:space="0" w:color="auto"/>
            </w:tcBorders>
            <w:shd w:val="clear" w:color="000000" w:fill="D8D8D8"/>
            <w:noWrap/>
            <w:vAlign w:val="center"/>
            <w:hideMark/>
          </w:tcPr>
          <w:p w:rsidR="00C14D26" w:rsidRPr="004927A2" w:rsidRDefault="00C14D26" w:rsidP="00C14D26">
            <w:pPr>
              <w:spacing w:after="0" w:line="240" w:lineRule="auto"/>
              <w:jc w:val="center"/>
              <w:rPr>
                <w:rFonts w:ascii="Calibri" w:eastAsia="Times New Roman" w:hAnsi="Calibri" w:cs="Times New Roman"/>
                <w:b/>
                <w:color w:val="000000"/>
                <w:sz w:val="24"/>
                <w:szCs w:val="24"/>
                <w:lang w:eastAsia="hr-HR"/>
              </w:rPr>
            </w:pPr>
            <w:r w:rsidRPr="004927A2">
              <w:rPr>
                <w:rFonts w:ascii="Calibri" w:eastAsia="Times New Roman" w:hAnsi="Calibri" w:cs="Times New Roman"/>
                <w:b/>
                <w:color w:val="000000"/>
                <w:sz w:val="24"/>
                <w:szCs w:val="24"/>
                <w:lang w:eastAsia="hr-HR"/>
              </w:rPr>
              <w:t>IZNOS</w:t>
            </w:r>
          </w:p>
        </w:tc>
        <w:tc>
          <w:tcPr>
            <w:tcW w:w="1060" w:type="dxa"/>
            <w:tcBorders>
              <w:top w:val="single" w:sz="8" w:space="0" w:color="auto"/>
              <w:left w:val="nil"/>
              <w:bottom w:val="single" w:sz="8" w:space="0" w:color="auto"/>
              <w:right w:val="single" w:sz="8" w:space="0" w:color="auto"/>
            </w:tcBorders>
            <w:shd w:val="clear" w:color="000000" w:fill="D8D8D8"/>
            <w:vAlign w:val="bottom"/>
            <w:hideMark/>
          </w:tcPr>
          <w:p w:rsidR="00C14D26" w:rsidRPr="004927A2" w:rsidRDefault="00C14D26" w:rsidP="00C14D26">
            <w:pPr>
              <w:spacing w:after="0" w:line="240" w:lineRule="auto"/>
              <w:rPr>
                <w:rFonts w:ascii="Calibri" w:eastAsia="Times New Roman" w:hAnsi="Calibri" w:cs="Times New Roman"/>
                <w:b/>
                <w:color w:val="000000"/>
                <w:sz w:val="20"/>
                <w:szCs w:val="20"/>
                <w:lang w:eastAsia="hr-HR"/>
              </w:rPr>
            </w:pPr>
            <w:r w:rsidRPr="004927A2">
              <w:rPr>
                <w:rFonts w:ascii="Calibri" w:eastAsia="Times New Roman" w:hAnsi="Calibri" w:cs="Times New Roman"/>
                <w:b/>
                <w:color w:val="000000"/>
                <w:sz w:val="20"/>
                <w:szCs w:val="20"/>
                <w:lang w:eastAsia="hr-HR"/>
              </w:rPr>
              <w:t>UDIO U UK. OBVEZAMA</w:t>
            </w:r>
          </w:p>
        </w:tc>
      </w:tr>
      <w:tr w:rsidR="00C14D26" w:rsidRPr="00C14D26" w:rsidTr="004927A2">
        <w:trPr>
          <w:trHeight w:val="495"/>
        </w:trPr>
        <w:tc>
          <w:tcPr>
            <w:tcW w:w="6120" w:type="dxa"/>
            <w:gridSpan w:val="2"/>
            <w:tcBorders>
              <w:top w:val="single" w:sz="8" w:space="0" w:color="auto"/>
              <w:left w:val="single" w:sz="8" w:space="0" w:color="auto"/>
              <w:bottom w:val="single" w:sz="4" w:space="0" w:color="auto"/>
            </w:tcBorders>
            <w:shd w:val="clear" w:color="000000" w:fill="D8D8D8"/>
            <w:vAlign w:val="center"/>
            <w:hideMark/>
          </w:tcPr>
          <w:p w:rsidR="00C14D26" w:rsidRPr="00C14D26" w:rsidRDefault="00C14D26" w:rsidP="00C14D26">
            <w:pPr>
              <w:spacing w:after="0" w:line="240" w:lineRule="auto"/>
              <w:rPr>
                <w:rFonts w:ascii="Calibri" w:eastAsia="Times New Roman" w:hAnsi="Calibri" w:cs="Times New Roman"/>
                <w:b/>
                <w:bCs/>
                <w:color w:val="000000"/>
                <w:sz w:val="20"/>
                <w:szCs w:val="20"/>
                <w:lang w:eastAsia="hr-HR"/>
              </w:rPr>
            </w:pPr>
            <w:r w:rsidRPr="00C14D26">
              <w:rPr>
                <w:rFonts w:ascii="Calibri" w:eastAsia="Times New Roman" w:hAnsi="Calibri" w:cs="Times New Roman"/>
                <w:b/>
                <w:bCs/>
                <w:color w:val="000000"/>
                <w:sz w:val="20"/>
                <w:szCs w:val="20"/>
                <w:lang w:eastAsia="hr-HR"/>
              </w:rPr>
              <w:t>DOSPJELE OBVEZE</w:t>
            </w:r>
          </w:p>
        </w:tc>
        <w:tc>
          <w:tcPr>
            <w:tcW w:w="2240" w:type="dxa"/>
            <w:gridSpan w:val="2"/>
            <w:tcBorders>
              <w:top w:val="single" w:sz="8" w:space="0" w:color="auto"/>
              <w:bottom w:val="single" w:sz="4" w:space="0" w:color="auto"/>
              <w:right w:val="single" w:sz="8" w:space="0" w:color="000000"/>
            </w:tcBorders>
            <w:shd w:val="clear" w:color="000000" w:fill="D8D8D8"/>
            <w:noWrap/>
            <w:vAlign w:val="center"/>
            <w:hideMark/>
          </w:tcPr>
          <w:p w:rsidR="00C14D26" w:rsidRPr="00C14D26" w:rsidRDefault="00C14D26" w:rsidP="004927A2">
            <w:pPr>
              <w:spacing w:after="0" w:line="240" w:lineRule="auto"/>
              <w:rPr>
                <w:rFonts w:ascii="Calibri" w:eastAsia="Times New Roman" w:hAnsi="Calibri" w:cs="Times New Roman"/>
                <w:b/>
                <w:bCs/>
                <w:color w:val="000000"/>
                <w:sz w:val="24"/>
                <w:szCs w:val="24"/>
                <w:lang w:eastAsia="hr-HR"/>
              </w:rPr>
            </w:pPr>
            <w:r w:rsidRPr="00C14D26">
              <w:rPr>
                <w:rFonts w:ascii="Calibri" w:eastAsia="Times New Roman" w:hAnsi="Calibri" w:cs="Times New Roman"/>
                <w:b/>
                <w:bCs/>
                <w:color w:val="000000"/>
                <w:sz w:val="24"/>
                <w:szCs w:val="24"/>
                <w:lang w:eastAsia="hr-HR"/>
              </w:rPr>
              <w:t>4.596.715</w:t>
            </w:r>
          </w:p>
        </w:tc>
      </w:tr>
      <w:tr w:rsidR="00C14D26" w:rsidRPr="00C14D26" w:rsidTr="00C14D26">
        <w:trPr>
          <w:trHeight w:val="300"/>
        </w:trPr>
        <w:tc>
          <w:tcPr>
            <w:tcW w:w="262" w:type="dxa"/>
            <w:tcBorders>
              <w:top w:val="nil"/>
              <w:left w:val="single" w:sz="8" w:space="0" w:color="auto"/>
              <w:bottom w:val="single" w:sz="4" w:space="0" w:color="auto"/>
              <w:right w:val="single" w:sz="4" w:space="0" w:color="auto"/>
            </w:tcBorders>
            <w:shd w:val="clear" w:color="auto" w:fill="auto"/>
            <w:noWrap/>
            <w:vAlign w:val="bottom"/>
            <w:hideMark/>
          </w:tcPr>
          <w:p w:rsidR="00C14D26" w:rsidRPr="00C14D26" w:rsidRDefault="00C14D26" w:rsidP="00C14D26">
            <w:pPr>
              <w:spacing w:after="0" w:line="240" w:lineRule="auto"/>
              <w:rPr>
                <w:rFonts w:ascii="Calibri" w:eastAsia="Times New Roman" w:hAnsi="Calibri" w:cs="Times New Roman"/>
                <w:color w:val="000000"/>
                <w:sz w:val="20"/>
                <w:szCs w:val="20"/>
                <w:lang w:eastAsia="hr-HR"/>
              </w:rPr>
            </w:pPr>
            <w:r w:rsidRPr="00C14D26">
              <w:rPr>
                <w:rFonts w:ascii="Calibri" w:eastAsia="Times New Roman" w:hAnsi="Calibri" w:cs="Times New Roman"/>
                <w:color w:val="000000"/>
                <w:sz w:val="20"/>
                <w:szCs w:val="20"/>
                <w:lang w:eastAsia="hr-HR"/>
              </w:rPr>
              <w:t>23</w:t>
            </w:r>
          </w:p>
        </w:tc>
        <w:tc>
          <w:tcPr>
            <w:tcW w:w="5858" w:type="dxa"/>
            <w:tcBorders>
              <w:top w:val="nil"/>
              <w:left w:val="nil"/>
              <w:bottom w:val="single" w:sz="4" w:space="0" w:color="auto"/>
              <w:right w:val="single" w:sz="4" w:space="0" w:color="auto"/>
            </w:tcBorders>
            <w:shd w:val="clear" w:color="auto" w:fill="auto"/>
            <w:noWrap/>
            <w:vAlign w:val="bottom"/>
            <w:hideMark/>
          </w:tcPr>
          <w:p w:rsidR="00C14D26" w:rsidRPr="00C14D26" w:rsidRDefault="00C14D26" w:rsidP="00C14D26">
            <w:pPr>
              <w:spacing w:after="0" w:line="240" w:lineRule="auto"/>
              <w:rPr>
                <w:rFonts w:ascii="Calibri" w:eastAsia="Times New Roman" w:hAnsi="Calibri" w:cs="Times New Roman"/>
                <w:color w:val="000000"/>
                <w:sz w:val="20"/>
                <w:szCs w:val="20"/>
                <w:lang w:eastAsia="hr-HR"/>
              </w:rPr>
            </w:pPr>
            <w:r w:rsidRPr="00C14D26">
              <w:rPr>
                <w:rFonts w:ascii="Calibri" w:eastAsia="Times New Roman" w:hAnsi="Calibri" w:cs="Times New Roman"/>
                <w:color w:val="000000"/>
                <w:sz w:val="20"/>
                <w:szCs w:val="20"/>
                <w:lang w:eastAsia="hr-HR"/>
              </w:rPr>
              <w:t>OBVEZE ZA RASHODE POSLOVANJA -DOSPJELE</w:t>
            </w:r>
          </w:p>
        </w:tc>
        <w:tc>
          <w:tcPr>
            <w:tcW w:w="1180" w:type="dxa"/>
            <w:tcBorders>
              <w:top w:val="nil"/>
              <w:left w:val="nil"/>
              <w:bottom w:val="single" w:sz="4" w:space="0" w:color="auto"/>
              <w:right w:val="single" w:sz="4" w:space="0" w:color="auto"/>
            </w:tcBorders>
            <w:shd w:val="clear" w:color="auto" w:fill="auto"/>
            <w:noWrap/>
            <w:vAlign w:val="bottom"/>
            <w:hideMark/>
          </w:tcPr>
          <w:p w:rsidR="00C14D26" w:rsidRPr="00C14D26" w:rsidRDefault="00C14D26" w:rsidP="00C14D26">
            <w:pPr>
              <w:spacing w:after="0" w:line="240" w:lineRule="auto"/>
              <w:jc w:val="right"/>
              <w:rPr>
                <w:rFonts w:ascii="Calibri" w:eastAsia="Times New Roman" w:hAnsi="Calibri" w:cs="Times New Roman"/>
                <w:color w:val="000000"/>
                <w:sz w:val="20"/>
                <w:szCs w:val="20"/>
                <w:lang w:eastAsia="hr-HR"/>
              </w:rPr>
            </w:pPr>
            <w:r w:rsidRPr="00C14D26">
              <w:rPr>
                <w:rFonts w:ascii="Calibri" w:eastAsia="Times New Roman" w:hAnsi="Calibri" w:cs="Times New Roman"/>
                <w:color w:val="000000"/>
                <w:sz w:val="20"/>
                <w:szCs w:val="20"/>
                <w:lang w:eastAsia="hr-HR"/>
              </w:rPr>
              <w:t>3.457.164</w:t>
            </w:r>
          </w:p>
        </w:tc>
        <w:tc>
          <w:tcPr>
            <w:tcW w:w="1060" w:type="dxa"/>
            <w:tcBorders>
              <w:top w:val="nil"/>
              <w:left w:val="nil"/>
              <w:bottom w:val="single" w:sz="4" w:space="0" w:color="auto"/>
              <w:right w:val="single" w:sz="8" w:space="0" w:color="auto"/>
            </w:tcBorders>
            <w:shd w:val="clear" w:color="auto" w:fill="auto"/>
            <w:noWrap/>
            <w:vAlign w:val="bottom"/>
            <w:hideMark/>
          </w:tcPr>
          <w:p w:rsidR="00C14D26" w:rsidRPr="00C14D26" w:rsidRDefault="00C14D26" w:rsidP="00C14D26">
            <w:pPr>
              <w:spacing w:after="0" w:line="240" w:lineRule="auto"/>
              <w:jc w:val="right"/>
              <w:rPr>
                <w:rFonts w:ascii="Calibri" w:eastAsia="Times New Roman" w:hAnsi="Calibri" w:cs="Times New Roman"/>
                <w:color w:val="000000"/>
                <w:sz w:val="20"/>
                <w:szCs w:val="20"/>
                <w:lang w:eastAsia="hr-HR"/>
              </w:rPr>
            </w:pPr>
            <w:r w:rsidRPr="00C14D26">
              <w:rPr>
                <w:rFonts w:ascii="Calibri" w:eastAsia="Times New Roman" w:hAnsi="Calibri" w:cs="Times New Roman"/>
                <w:color w:val="000000"/>
                <w:sz w:val="20"/>
                <w:szCs w:val="20"/>
                <w:lang w:eastAsia="hr-HR"/>
              </w:rPr>
              <w:t>13,5%</w:t>
            </w:r>
          </w:p>
        </w:tc>
      </w:tr>
      <w:tr w:rsidR="00C14D26" w:rsidRPr="00C14D26" w:rsidTr="00C14D26">
        <w:trPr>
          <w:trHeight w:val="300"/>
        </w:trPr>
        <w:tc>
          <w:tcPr>
            <w:tcW w:w="262" w:type="dxa"/>
            <w:tcBorders>
              <w:top w:val="nil"/>
              <w:left w:val="single" w:sz="8" w:space="0" w:color="auto"/>
              <w:bottom w:val="single" w:sz="4" w:space="0" w:color="auto"/>
              <w:right w:val="single" w:sz="4" w:space="0" w:color="auto"/>
            </w:tcBorders>
            <w:shd w:val="clear" w:color="auto" w:fill="auto"/>
            <w:noWrap/>
            <w:vAlign w:val="bottom"/>
            <w:hideMark/>
          </w:tcPr>
          <w:p w:rsidR="00C14D26" w:rsidRPr="00C14D26" w:rsidRDefault="00C14D26" w:rsidP="00C14D26">
            <w:pPr>
              <w:spacing w:after="0" w:line="240" w:lineRule="auto"/>
              <w:rPr>
                <w:rFonts w:ascii="Calibri" w:eastAsia="Times New Roman" w:hAnsi="Calibri" w:cs="Times New Roman"/>
                <w:color w:val="000000"/>
                <w:sz w:val="20"/>
                <w:szCs w:val="20"/>
                <w:lang w:eastAsia="hr-HR"/>
              </w:rPr>
            </w:pPr>
            <w:r w:rsidRPr="00C14D26">
              <w:rPr>
                <w:rFonts w:ascii="Calibri" w:eastAsia="Times New Roman" w:hAnsi="Calibri" w:cs="Times New Roman"/>
                <w:color w:val="000000"/>
                <w:sz w:val="20"/>
                <w:szCs w:val="20"/>
                <w:lang w:eastAsia="hr-HR"/>
              </w:rPr>
              <w:t>24</w:t>
            </w:r>
          </w:p>
        </w:tc>
        <w:tc>
          <w:tcPr>
            <w:tcW w:w="5858" w:type="dxa"/>
            <w:tcBorders>
              <w:top w:val="nil"/>
              <w:left w:val="nil"/>
              <w:bottom w:val="single" w:sz="4" w:space="0" w:color="auto"/>
              <w:right w:val="single" w:sz="4" w:space="0" w:color="auto"/>
            </w:tcBorders>
            <w:shd w:val="clear" w:color="auto" w:fill="auto"/>
            <w:noWrap/>
            <w:vAlign w:val="bottom"/>
            <w:hideMark/>
          </w:tcPr>
          <w:p w:rsidR="00C14D26" w:rsidRPr="00C14D26" w:rsidRDefault="00C14D26" w:rsidP="00C14D26">
            <w:pPr>
              <w:spacing w:after="0" w:line="240" w:lineRule="auto"/>
              <w:rPr>
                <w:rFonts w:ascii="Calibri" w:eastAsia="Times New Roman" w:hAnsi="Calibri" w:cs="Times New Roman"/>
                <w:color w:val="000000"/>
                <w:sz w:val="20"/>
                <w:szCs w:val="20"/>
                <w:lang w:eastAsia="hr-HR"/>
              </w:rPr>
            </w:pPr>
            <w:r w:rsidRPr="00C14D26">
              <w:rPr>
                <w:rFonts w:ascii="Calibri" w:eastAsia="Times New Roman" w:hAnsi="Calibri" w:cs="Times New Roman"/>
                <w:color w:val="000000"/>
                <w:sz w:val="20"/>
                <w:szCs w:val="20"/>
                <w:lang w:eastAsia="hr-HR"/>
              </w:rPr>
              <w:t>OBVEZE ZA NABAVU NEFINANCIJSKE IMOVINE DOSPJELE</w:t>
            </w:r>
          </w:p>
        </w:tc>
        <w:tc>
          <w:tcPr>
            <w:tcW w:w="1180" w:type="dxa"/>
            <w:tcBorders>
              <w:top w:val="nil"/>
              <w:left w:val="nil"/>
              <w:bottom w:val="single" w:sz="4" w:space="0" w:color="auto"/>
              <w:right w:val="single" w:sz="4" w:space="0" w:color="auto"/>
            </w:tcBorders>
            <w:shd w:val="clear" w:color="auto" w:fill="auto"/>
            <w:noWrap/>
            <w:vAlign w:val="bottom"/>
            <w:hideMark/>
          </w:tcPr>
          <w:p w:rsidR="00C14D26" w:rsidRPr="00C14D26" w:rsidRDefault="00C14D26" w:rsidP="00C14D26">
            <w:pPr>
              <w:spacing w:after="0" w:line="240" w:lineRule="auto"/>
              <w:jc w:val="right"/>
              <w:rPr>
                <w:rFonts w:ascii="Calibri" w:eastAsia="Times New Roman" w:hAnsi="Calibri" w:cs="Times New Roman"/>
                <w:color w:val="000000"/>
                <w:sz w:val="20"/>
                <w:szCs w:val="20"/>
                <w:lang w:eastAsia="hr-HR"/>
              </w:rPr>
            </w:pPr>
            <w:r w:rsidRPr="00C14D26">
              <w:rPr>
                <w:rFonts w:ascii="Calibri" w:eastAsia="Times New Roman" w:hAnsi="Calibri" w:cs="Times New Roman"/>
                <w:color w:val="000000"/>
                <w:sz w:val="20"/>
                <w:szCs w:val="20"/>
                <w:lang w:eastAsia="hr-HR"/>
              </w:rPr>
              <w:t>1.139.551</w:t>
            </w:r>
          </w:p>
        </w:tc>
        <w:tc>
          <w:tcPr>
            <w:tcW w:w="1060" w:type="dxa"/>
            <w:tcBorders>
              <w:top w:val="nil"/>
              <w:left w:val="nil"/>
              <w:bottom w:val="single" w:sz="4" w:space="0" w:color="auto"/>
              <w:right w:val="single" w:sz="8" w:space="0" w:color="auto"/>
            </w:tcBorders>
            <w:shd w:val="clear" w:color="auto" w:fill="auto"/>
            <w:noWrap/>
            <w:vAlign w:val="bottom"/>
            <w:hideMark/>
          </w:tcPr>
          <w:p w:rsidR="00C14D26" w:rsidRPr="00C14D26" w:rsidRDefault="00C14D26" w:rsidP="00C14D26">
            <w:pPr>
              <w:spacing w:after="0" w:line="240" w:lineRule="auto"/>
              <w:jc w:val="right"/>
              <w:rPr>
                <w:rFonts w:ascii="Calibri" w:eastAsia="Times New Roman" w:hAnsi="Calibri" w:cs="Times New Roman"/>
                <w:color w:val="000000"/>
                <w:sz w:val="20"/>
                <w:szCs w:val="20"/>
                <w:lang w:eastAsia="hr-HR"/>
              </w:rPr>
            </w:pPr>
            <w:r w:rsidRPr="00C14D26">
              <w:rPr>
                <w:rFonts w:ascii="Calibri" w:eastAsia="Times New Roman" w:hAnsi="Calibri" w:cs="Times New Roman"/>
                <w:color w:val="000000"/>
                <w:sz w:val="20"/>
                <w:szCs w:val="20"/>
                <w:lang w:eastAsia="hr-HR"/>
              </w:rPr>
              <w:t>4,4%</w:t>
            </w:r>
          </w:p>
        </w:tc>
      </w:tr>
      <w:tr w:rsidR="00C14D26" w:rsidRPr="00C14D26" w:rsidTr="00C14D26">
        <w:trPr>
          <w:trHeight w:val="435"/>
        </w:trPr>
        <w:tc>
          <w:tcPr>
            <w:tcW w:w="6120" w:type="dxa"/>
            <w:gridSpan w:val="2"/>
            <w:tcBorders>
              <w:top w:val="single" w:sz="4" w:space="0" w:color="auto"/>
              <w:left w:val="single" w:sz="8" w:space="0" w:color="auto"/>
              <w:bottom w:val="single" w:sz="4" w:space="0" w:color="auto"/>
              <w:right w:val="nil"/>
            </w:tcBorders>
            <w:shd w:val="clear" w:color="000000" w:fill="D8D8D8"/>
            <w:vAlign w:val="center"/>
            <w:hideMark/>
          </w:tcPr>
          <w:p w:rsidR="00C14D26" w:rsidRPr="00C14D26" w:rsidRDefault="00C14D26" w:rsidP="00C14D26">
            <w:pPr>
              <w:spacing w:after="0" w:line="240" w:lineRule="auto"/>
              <w:rPr>
                <w:rFonts w:ascii="Calibri" w:eastAsia="Times New Roman" w:hAnsi="Calibri" w:cs="Times New Roman"/>
                <w:b/>
                <w:bCs/>
                <w:color w:val="000000"/>
                <w:sz w:val="20"/>
                <w:szCs w:val="20"/>
                <w:lang w:eastAsia="hr-HR"/>
              </w:rPr>
            </w:pPr>
            <w:r w:rsidRPr="00C14D26">
              <w:rPr>
                <w:rFonts w:ascii="Calibri" w:eastAsia="Times New Roman" w:hAnsi="Calibri" w:cs="Times New Roman"/>
                <w:b/>
                <w:bCs/>
                <w:color w:val="000000"/>
                <w:sz w:val="20"/>
                <w:szCs w:val="20"/>
                <w:lang w:eastAsia="hr-HR"/>
              </w:rPr>
              <w:t>NEDOSPJELE OBVEZE</w:t>
            </w:r>
          </w:p>
        </w:tc>
        <w:tc>
          <w:tcPr>
            <w:tcW w:w="2240" w:type="dxa"/>
            <w:gridSpan w:val="2"/>
            <w:tcBorders>
              <w:top w:val="single" w:sz="4" w:space="0" w:color="auto"/>
              <w:left w:val="nil"/>
              <w:bottom w:val="single" w:sz="4" w:space="0" w:color="auto"/>
              <w:right w:val="single" w:sz="8" w:space="0" w:color="000000"/>
            </w:tcBorders>
            <w:shd w:val="clear" w:color="000000" w:fill="D8D8D8"/>
            <w:vAlign w:val="center"/>
            <w:hideMark/>
          </w:tcPr>
          <w:p w:rsidR="00C14D26" w:rsidRPr="00C14D26" w:rsidRDefault="00C14D26" w:rsidP="004927A2">
            <w:pPr>
              <w:spacing w:after="0" w:line="240" w:lineRule="auto"/>
              <w:rPr>
                <w:rFonts w:ascii="Calibri" w:eastAsia="Times New Roman" w:hAnsi="Calibri" w:cs="Times New Roman"/>
                <w:b/>
                <w:bCs/>
                <w:color w:val="000000"/>
                <w:sz w:val="24"/>
                <w:szCs w:val="24"/>
                <w:lang w:eastAsia="hr-HR"/>
              </w:rPr>
            </w:pPr>
            <w:r w:rsidRPr="00C14D26">
              <w:rPr>
                <w:rFonts w:ascii="Calibri" w:eastAsia="Times New Roman" w:hAnsi="Calibri" w:cs="Times New Roman"/>
                <w:b/>
                <w:bCs/>
                <w:color w:val="000000"/>
                <w:sz w:val="24"/>
                <w:szCs w:val="24"/>
                <w:lang w:eastAsia="hr-HR"/>
              </w:rPr>
              <w:t>21.042.429</w:t>
            </w:r>
          </w:p>
        </w:tc>
      </w:tr>
      <w:tr w:rsidR="00C14D26" w:rsidRPr="00C14D26" w:rsidTr="00C14D26">
        <w:trPr>
          <w:trHeight w:val="300"/>
        </w:trPr>
        <w:tc>
          <w:tcPr>
            <w:tcW w:w="262" w:type="dxa"/>
            <w:tcBorders>
              <w:top w:val="nil"/>
              <w:left w:val="single" w:sz="8" w:space="0" w:color="auto"/>
              <w:bottom w:val="single" w:sz="4" w:space="0" w:color="auto"/>
              <w:right w:val="single" w:sz="4" w:space="0" w:color="auto"/>
            </w:tcBorders>
            <w:shd w:val="clear" w:color="auto" w:fill="auto"/>
            <w:noWrap/>
            <w:vAlign w:val="bottom"/>
            <w:hideMark/>
          </w:tcPr>
          <w:p w:rsidR="00C14D26" w:rsidRPr="00C14D26" w:rsidRDefault="00C14D26" w:rsidP="00C14D26">
            <w:pPr>
              <w:spacing w:after="0" w:line="240" w:lineRule="auto"/>
              <w:rPr>
                <w:rFonts w:ascii="Calibri" w:eastAsia="Times New Roman" w:hAnsi="Calibri" w:cs="Times New Roman"/>
                <w:color w:val="000000"/>
                <w:sz w:val="20"/>
                <w:szCs w:val="20"/>
                <w:lang w:eastAsia="hr-HR"/>
              </w:rPr>
            </w:pPr>
            <w:r w:rsidRPr="00C14D26">
              <w:rPr>
                <w:rFonts w:ascii="Calibri" w:eastAsia="Times New Roman" w:hAnsi="Calibri" w:cs="Times New Roman"/>
                <w:color w:val="000000"/>
                <w:sz w:val="20"/>
                <w:szCs w:val="20"/>
                <w:lang w:eastAsia="hr-HR"/>
              </w:rPr>
              <w:t>23</w:t>
            </w:r>
          </w:p>
        </w:tc>
        <w:tc>
          <w:tcPr>
            <w:tcW w:w="5858" w:type="dxa"/>
            <w:tcBorders>
              <w:top w:val="nil"/>
              <w:left w:val="nil"/>
              <w:bottom w:val="single" w:sz="4" w:space="0" w:color="auto"/>
              <w:right w:val="single" w:sz="4" w:space="0" w:color="auto"/>
            </w:tcBorders>
            <w:shd w:val="clear" w:color="auto" w:fill="auto"/>
            <w:noWrap/>
            <w:vAlign w:val="bottom"/>
            <w:hideMark/>
          </w:tcPr>
          <w:p w:rsidR="00C14D26" w:rsidRPr="00C14D26" w:rsidRDefault="00C14D26" w:rsidP="00C14D26">
            <w:pPr>
              <w:spacing w:after="0" w:line="240" w:lineRule="auto"/>
              <w:rPr>
                <w:rFonts w:ascii="Calibri" w:eastAsia="Times New Roman" w:hAnsi="Calibri" w:cs="Times New Roman"/>
                <w:color w:val="000000"/>
                <w:sz w:val="20"/>
                <w:szCs w:val="20"/>
                <w:lang w:eastAsia="hr-HR"/>
              </w:rPr>
            </w:pPr>
            <w:r w:rsidRPr="00C14D26">
              <w:rPr>
                <w:rFonts w:ascii="Calibri" w:eastAsia="Times New Roman" w:hAnsi="Calibri" w:cs="Times New Roman"/>
                <w:color w:val="000000"/>
                <w:sz w:val="20"/>
                <w:szCs w:val="20"/>
                <w:lang w:eastAsia="hr-HR"/>
              </w:rPr>
              <w:t>OBVEZE ZA RASHODE POSLOVANJA-NEDOSPJELO</w:t>
            </w:r>
          </w:p>
        </w:tc>
        <w:tc>
          <w:tcPr>
            <w:tcW w:w="1180" w:type="dxa"/>
            <w:tcBorders>
              <w:top w:val="nil"/>
              <w:left w:val="nil"/>
              <w:bottom w:val="single" w:sz="4" w:space="0" w:color="auto"/>
              <w:right w:val="single" w:sz="4" w:space="0" w:color="auto"/>
            </w:tcBorders>
            <w:shd w:val="clear" w:color="auto" w:fill="auto"/>
            <w:noWrap/>
            <w:vAlign w:val="bottom"/>
            <w:hideMark/>
          </w:tcPr>
          <w:p w:rsidR="00C14D26" w:rsidRPr="00C14D26" w:rsidRDefault="00C14D26" w:rsidP="00C14D26">
            <w:pPr>
              <w:spacing w:after="0" w:line="240" w:lineRule="auto"/>
              <w:jc w:val="right"/>
              <w:rPr>
                <w:rFonts w:ascii="Calibri" w:eastAsia="Times New Roman" w:hAnsi="Calibri" w:cs="Times New Roman"/>
                <w:color w:val="000000"/>
                <w:sz w:val="20"/>
                <w:szCs w:val="20"/>
                <w:lang w:eastAsia="hr-HR"/>
              </w:rPr>
            </w:pPr>
            <w:r w:rsidRPr="00C14D26">
              <w:rPr>
                <w:rFonts w:ascii="Calibri" w:eastAsia="Times New Roman" w:hAnsi="Calibri" w:cs="Times New Roman"/>
                <w:color w:val="000000"/>
                <w:sz w:val="20"/>
                <w:szCs w:val="20"/>
                <w:lang w:eastAsia="hr-HR"/>
              </w:rPr>
              <w:t>15.805.365</w:t>
            </w:r>
          </w:p>
        </w:tc>
        <w:tc>
          <w:tcPr>
            <w:tcW w:w="1060" w:type="dxa"/>
            <w:tcBorders>
              <w:top w:val="nil"/>
              <w:left w:val="nil"/>
              <w:bottom w:val="single" w:sz="4" w:space="0" w:color="auto"/>
              <w:right w:val="single" w:sz="8" w:space="0" w:color="auto"/>
            </w:tcBorders>
            <w:shd w:val="clear" w:color="auto" w:fill="auto"/>
            <w:noWrap/>
            <w:vAlign w:val="bottom"/>
            <w:hideMark/>
          </w:tcPr>
          <w:p w:rsidR="00C14D26" w:rsidRPr="00C14D26" w:rsidRDefault="00C14D26" w:rsidP="00C14D26">
            <w:pPr>
              <w:spacing w:after="0" w:line="240" w:lineRule="auto"/>
              <w:jc w:val="right"/>
              <w:rPr>
                <w:rFonts w:ascii="Calibri" w:eastAsia="Times New Roman" w:hAnsi="Calibri" w:cs="Times New Roman"/>
                <w:color w:val="000000"/>
                <w:sz w:val="20"/>
                <w:szCs w:val="20"/>
                <w:lang w:eastAsia="hr-HR"/>
              </w:rPr>
            </w:pPr>
            <w:r w:rsidRPr="00C14D26">
              <w:rPr>
                <w:rFonts w:ascii="Calibri" w:eastAsia="Times New Roman" w:hAnsi="Calibri" w:cs="Times New Roman"/>
                <w:color w:val="000000"/>
                <w:sz w:val="20"/>
                <w:szCs w:val="20"/>
                <w:lang w:eastAsia="hr-HR"/>
              </w:rPr>
              <w:t>61,6%</w:t>
            </w:r>
          </w:p>
        </w:tc>
      </w:tr>
      <w:tr w:rsidR="00C14D26" w:rsidRPr="00C14D26" w:rsidTr="004927A2">
        <w:trPr>
          <w:trHeight w:val="315"/>
        </w:trPr>
        <w:tc>
          <w:tcPr>
            <w:tcW w:w="262" w:type="dxa"/>
            <w:tcBorders>
              <w:top w:val="nil"/>
              <w:left w:val="single" w:sz="8" w:space="0" w:color="auto"/>
              <w:bottom w:val="single" w:sz="8" w:space="0" w:color="auto"/>
              <w:right w:val="single" w:sz="4" w:space="0" w:color="auto"/>
            </w:tcBorders>
            <w:shd w:val="clear" w:color="auto" w:fill="auto"/>
            <w:noWrap/>
            <w:vAlign w:val="bottom"/>
            <w:hideMark/>
          </w:tcPr>
          <w:p w:rsidR="00C14D26" w:rsidRPr="00C14D26" w:rsidRDefault="00C14D26" w:rsidP="00C14D26">
            <w:pPr>
              <w:spacing w:after="0" w:line="240" w:lineRule="auto"/>
              <w:rPr>
                <w:rFonts w:ascii="Calibri" w:eastAsia="Times New Roman" w:hAnsi="Calibri" w:cs="Times New Roman"/>
                <w:color w:val="000000"/>
                <w:sz w:val="20"/>
                <w:szCs w:val="20"/>
                <w:lang w:eastAsia="hr-HR"/>
              </w:rPr>
            </w:pPr>
            <w:r w:rsidRPr="00C14D26">
              <w:rPr>
                <w:rFonts w:ascii="Calibri" w:eastAsia="Times New Roman" w:hAnsi="Calibri" w:cs="Times New Roman"/>
                <w:color w:val="000000"/>
                <w:sz w:val="20"/>
                <w:szCs w:val="20"/>
                <w:lang w:eastAsia="hr-HR"/>
              </w:rPr>
              <w:t>24</w:t>
            </w:r>
          </w:p>
        </w:tc>
        <w:tc>
          <w:tcPr>
            <w:tcW w:w="5858" w:type="dxa"/>
            <w:tcBorders>
              <w:top w:val="nil"/>
              <w:left w:val="nil"/>
              <w:bottom w:val="single" w:sz="8" w:space="0" w:color="auto"/>
              <w:right w:val="single" w:sz="4" w:space="0" w:color="auto"/>
            </w:tcBorders>
            <w:shd w:val="clear" w:color="auto" w:fill="auto"/>
            <w:noWrap/>
            <w:vAlign w:val="bottom"/>
            <w:hideMark/>
          </w:tcPr>
          <w:p w:rsidR="00C14D26" w:rsidRPr="00C14D26" w:rsidRDefault="00C14D26" w:rsidP="00C14D26">
            <w:pPr>
              <w:spacing w:after="0" w:line="240" w:lineRule="auto"/>
              <w:rPr>
                <w:rFonts w:ascii="Calibri" w:eastAsia="Times New Roman" w:hAnsi="Calibri" w:cs="Times New Roman"/>
                <w:color w:val="000000"/>
                <w:sz w:val="20"/>
                <w:szCs w:val="20"/>
                <w:lang w:eastAsia="hr-HR"/>
              </w:rPr>
            </w:pPr>
            <w:r w:rsidRPr="00C14D26">
              <w:rPr>
                <w:rFonts w:ascii="Calibri" w:eastAsia="Times New Roman" w:hAnsi="Calibri" w:cs="Times New Roman"/>
                <w:color w:val="000000"/>
                <w:sz w:val="20"/>
                <w:szCs w:val="20"/>
                <w:lang w:eastAsia="hr-HR"/>
              </w:rPr>
              <w:t>OBVEZE ZA NABAVU NEFINANCIJSKE IMOVINE-NEDOSPJELO</w:t>
            </w:r>
          </w:p>
        </w:tc>
        <w:tc>
          <w:tcPr>
            <w:tcW w:w="1180" w:type="dxa"/>
            <w:tcBorders>
              <w:top w:val="nil"/>
              <w:left w:val="nil"/>
              <w:bottom w:val="single" w:sz="4" w:space="0" w:color="auto"/>
              <w:right w:val="single" w:sz="4" w:space="0" w:color="auto"/>
            </w:tcBorders>
            <w:shd w:val="clear" w:color="auto" w:fill="auto"/>
            <w:noWrap/>
            <w:vAlign w:val="bottom"/>
            <w:hideMark/>
          </w:tcPr>
          <w:p w:rsidR="00C14D26" w:rsidRPr="00C14D26" w:rsidRDefault="00C14D26" w:rsidP="00C14D26">
            <w:pPr>
              <w:spacing w:after="0" w:line="240" w:lineRule="auto"/>
              <w:jc w:val="right"/>
              <w:rPr>
                <w:rFonts w:ascii="Calibri" w:eastAsia="Times New Roman" w:hAnsi="Calibri" w:cs="Times New Roman"/>
                <w:color w:val="000000"/>
                <w:sz w:val="20"/>
                <w:szCs w:val="20"/>
                <w:lang w:eastAsia="hr-HR"/>
              </w:rPr>
            </w:pPr>
            <w:r w:rsidRPr="00C14D26">
              <w:rPr>
                <w:rFonts w:ascii="Calibri" w:eastAsia="Times New Roman" w:hAnsi="Calibri" w:cs="Times New Roman"/>
                <w:color w:val="000000"/>
                <w:sz w:val="20"/>
                <w:szCs w:val="20"/>
                <w:lang w:eastAsia="hr-HR"/>
              </w:rPr>
              <w:t>5.237.064</w:t>
            </w:r>
          </w:p>
        </w:tc>
        <w:tc>
          <w:tcPr>
            <w:tcW w:w="1060" w:type="dxa"/>
            <w:tcBorders>
              <w:top w:val="nil"/>
              <w:left w:val="nil"/>
              <w:bottom w:val="single" w:sz="8" w:space="0" w:color="auto"/>
              <w:right w:val="single" w:sz="8" w:space="0" w:color="auto"/>
            </w:tcBorders>
            <w:shd w:val="clear" w:color="auto" w:fill="auto"/>
            <w:noWrap/>
            <w:vAlign w:val="bottom"/>
            <w:hideMark/>
          </w:tcPr>
          <w:p w:rsidR="00C14D26" w:rsidRPr="00C14D26" w:rsidRDefault="00C14D26" w:rsidP="00C14D26">
            <w:pPr>
              <w:spacing w:after="0" w:line="240" w:lineRule="auto"/>
              <w:jc w:val="right"/>
              <w:rPr>
                <w:rFonts w:ascii="Calibri" w:eastAsia="Times New Roman" w:hAnsi="Calibri" w:cs="Times New Roman"/>
                <w:color w:val="000000"/>
                <w:sz w:val="20"/>
                <w:szCs w:val="20"/>
                <w:lang w:eastAsia="hr-HR"/>
              </w:rPr>
            </w:pPr>
            <w:r w:rsidRPr="00C14D26">
              <w:rPr>
                <w:rFonts w:ascii="Calibri" w:eastAsia="Times New Roman" w:hAnsi="Calibri" w:cs="Times New Roman"/>
                <w:color w:val="000000"/>
                <w:sz w:val="20"/>
                <w:szCs w:val="20"/>
                <w:lang w:eastAsia="hr-HR"/>
              </w:rPr>
              <w:t>20,4%</w:t>
            </w:r>
          </w:p>
        </w:tc>
      </w:tr>
      <w:tr w:rsidR="00C14D26" w:rsidRPr="00C14D26" w:rsidTr="004927A2">
        <w:trPr>
          <w:trHeight w:val="465"/>
        </w:trPr>
        <w:tc>
          <w:tcPr>
            <w:tcW w:w="6120" w:type="dxa"/>
            <w:gridSpan w:val="2"/>
            <w:tcBorders>
              <w:top w:val="single" w:sz="4" w:space="0" w:color="auto"/>
              <w:left w:val="single" w:sz="4" w:space="0" w:color="auto"/>
              <w:bottom w:val="single" w:sz="4" w:space="0" w:color="auto"/>
            </w:tcBorders>
            <w:shd w:val="clear" w:color="000000" w:fill="BFBFBF"/>
            <w:noWrap/>
            <w:vAlign w:val="center"/>
            <w:hideMark/>
          </w:tcPr>
          <w:p w:rsidR="00C14D26" w:rsidRPr="00C14D26" w:rsidRDefault="00C14D26" w:rsidP="00C14D26">
            <w:pPr>
              <w:spacing w:after="0" w:line="240" w:lineRule="auto"/>
              <w:rPr>
                <w:rFonts w:ascii="Calibri" w:eastAsia="Times New Roman" w:hAnsi="Calibri" w:cs="Times New Roman"/>
                <w:b/>
                <w:bCs/>
                <w:color w:val="000000"/>
                <w:sz w:val="24"/>
                <w:szCs w:val="24"/>
                <w:lang w:eastAsia="hr-HR"/>
              </w:rPr>
            </w:pPr>
            <w:r w:rsidRPr="00C14D26">
              <w:rPr>
                <w:rFonts w:ascii="Calibri" w:eastAsia="Times New Roman" w:hAnsi="Calibri" w:cs="Times New Roman"/>
                <w:b/>
                <w:bCs/>
                <w:color w:val="000000"/>
                <w:sz w:val="24"/>
                <w:szCs w:val="24"/>
                <w:lang w:eastAsia="hr-HR"/>
              </w:rPr>
              <w:t>SVEUKUPNO - DOSPJELO I NEDOSPJELO</w:t>
            </w:r>
          </w:p>
        </w:tc>
        <w:tc>
          <w:tcPr>
            <w:tcW w:w="1180" w:type="dxa"/>
            <w:tcBorders>
              <w:top w:val="single" w:sz="4" w:space="0" w:color="auto"/>
              <w:bottom w:val="single" w:sz="4" w:space="0" w:color="auto"/>
              <w:right w:val="single" w:sz="4" w:space="0" w:color="auto"/>
            </w:tcBorders>
            <w:shd w:val="clear" w:color="000000" w:fill="BFBFBF"/>
            <w:noWrap/>
            <w:vAlign w:val="center"/>
            <w:hideMark/>
          </w:tcPr>
          <w:p w:rsidR="00C14D26" w:rsidRPr="00C14D26" w:rsidRDefault="00C14D26" w:rsidP="00C14D26">
            <w:pPr>
              <w:spacing w:after="0" w:line="240" w:lineRule="auto"/>
              <w:jc w:val="center"/>
              <w:rPr>
                <w:rFonts w:ascii="Calibri" w:eastAsia="Times New Roman" w:hAnsi="Calibri" w:cs="Times New Roman"/>
                <w:b/>
                <w:bCs/>
                <w:color w:val="000000"/>
                <w:sz w:val="24"/>
                <w:szCs w:val="24"/>
                <w:lang w:eastAsia="hr-HR"/>
              </w:rPr>
            </w:pPr>
            <w:r w:rsidRPr="00C14D26">
              <w:rPr>
                <w:rFonts w:ascii="Calibri" w:eastAsia="Times New Roman" w:hAnsi="Calibri" w:cs="Times New Roman"/>
                <w:b/>
                <w:bCs/>
                <w:color w:val="000000"/>
                <w:sz w:val="24"/>
                <w:szCs w:val="24"/>
                <w:lang w:eastAsia="hr-HR"/>
              </w:rPr>
              <w:t>25.639.144</w:t>
            </w:r>
          </w:p>
        </w:tc>
        <w:tc>
          <w:tcPr>
            <w:tcW w:w="1060" w:type="dxa"/>
            <w:tcBorders>
              <w:top w:val="single" w:sz="4" w:space="0" w:color="auto"/>
              <w:left w:val="nil"/>
              <w:bottom w:val="single" w:sz="4" w:space="0" w:color="auto"/>
              <w:right w:val="single" w:sz="4" w:space="0" w:color="auto"/>
            </w:tcBorders>
            <w:shd w:val="clear" w:color="000000" w:fill="D8D8D8"/>
            <w:noWrap/>
            <w:vAlign w:val="center"/>
            <w:hideMark/>
          </w:tcPr>
          <w:p w:rsidR="00C14D26" w:rsidRPr="00C14D26" w:rsidRDefault="00C14D26" w:rsidP="00C14D26">
            <w:pPr>
              <w:spacing w:after="0" w:line="240" w:lineRule="auto"/>
              <w:jc w:val="center"/>
              <w:rPr>
                <w:rFonts w:ascii="Calibri" w:eastAsia="Times New Roman" w:hAnsi="Calibri" w:cs="Times New Roman"/>
                <w:b/>
                <w:bCs/>
                <w:color w:val="000000"/>
                <w:sz w:val="20"/>
                <w:szCs w:val="20"/>
                <w:lang w:eastAsia="hr-HR"/>
              </w:rPr>
            </w:pPr>
            <w:r w:rsidRPr="00C14D26">
              <w:rPr>
                <w:rFonts w:ascii="Calibri" w:eastAsia="Times New Roman" w:hAnsi="Calibri" w:cs="Times New Roman"/>
                <w:b/>
                <w:bCs/>
                <w:color w:val="000000"/>
                <w:sz w:val="20"/>
                <w:szCs w:val="20"/>
                <w:lang w:eastAsia="hr-HR"/>
              </w:rPr>
              <w:t>100,0%</w:t>
            </w:r>
          </w:p>
        </w:tc>
      </w:tr>
    </w:tbl>
    <w:p w:rsidR="00C14D26" w:rsidRDefault="00C14D26" w:rsidP="00BF70A6">
      <w:pPr>
        <w:spacing w:after="0" w:line="240" w:lineRule="auto"/>
        <w:jc w:val="both"/>
        <w:rPr>
          <w:rFonts w:ascii="Times New Roman" w:hAnsi="Times New Roman" w:cs="Times New Roman"/>
        </w:rPr>
      </w:pPr>
    </w:p>
    <w:p w:rsidR="008F1511" w:rsidRDefault="008F1511" w:rsidP="00BF70A6">
      <w:pPr>
        <w:spacing w:after="0" w:line="240" w:lineRule="auto"/>
        <w:jc w:val="both"/>
        <w:rPr>
          <w:rFonts w:ascii="Times New Roman" w:hAnsi="Times New Roman" w:cs="Times New Roman"/>
        </w:rPr>
      </w:pPr>
    </w:p>
    <w:p w:rsidR="008F1511" w:rsidRDefault="008F1511" w:rsidP="00BF70A6">
      <w:pPr>
        <w:spacing w:after="0" w:line="240" w:lineRule="auto"/>
        <w:jc w:val="both"/>
        <w:rPr>
          <w:rFonts w:ascii="Times New Roman" w:hAnsi="Times New Roman" w:cs="Times New Roman"/>
        </w:rPr>
      </w:pPr>
    </w:p>
    <w:p w:rsidR="008F1511" w:rsidRDefault="008F1511" w:rsidP="00BF70A6">
      <w:pPr>
        <w:spacing w:after="0" w:line="240" w:lineRule="auto"/>
        <w:jc w:val="both"/>
        <w:rPr>
          <w:rFonts w:ascii="Times New Roman" w:hAnsi="Times New Roman" w:cs="Times New Roman"/>
        </w:rPr>
      </w:pPr>
    </w:p>
    <w:p w:rsidR="00F90D40" w:rsidRDefault="00F90D40" w:rsidP="00BF70A6">
      <w:pPr>
        <w:spacing w:after="0" w:line="240" w:lineRule="auto"/>
        <w:jc w:val="both"/>
        <w:rPr>
          <w:rFonts w:ascii="Times New Roman" w:hAnsi="Times New Roman" w:cs="Times New Roman"/>
        </w:rPr>
      </w:pPr>
    </w:p>
    <w:p w:rsidR="00C14D26" w:rsidRDefault="00E733A3" w:rsidP="00BF70A6">
      <w:pPr>
        <w:spacing w:after="0" w:line="240" w:lineRule="auto"/>
        <w:jc w:val="both"/>
        <w:rPr>
          <w:rFonts w:ascii="Times New Roman" w:hAnsi="Times New Roman" w:cs="Times New Roman"/>
          <w:b/>
          <w:i/>
        </w:rPr>
      </w:pPr>
      <w:r>
        <w:rPr>
          <w:rFonts w:ascii="Times New Roman" w:hAnsi="Times New Roman" w:cs="Times New Roman"/>
          <w:b/>
          <w:i/>
        </w:rPr>
        <w:t>Grafikon</w:t>
      </w:r>
      <w:r w:rsidR="00F90D40" w:rsidRPr="00E733A3">
        <w:rPr>
          <w:rFonts w:ascii="Times New Roman" w:hAnsi="Times New Roman" w:cs="Times New Roman"/>
          <w:b/>
          <w:i/>
        </w:rPr>
        <w:t xml:space="preserve"> </w:t>
      </w:r>
      <w:r>
        <w:rPr>
          <w:rFonts w:ascii="Times New Roman" w:hAnsi="Times New Roman" w:cs="Times New Roman"/>
          <w:b/>
          <w:i/>
        </w:rPr>
        <w:t>2</w:t>
      </w:r>
      <w:r w:rsidR="00F90D40" w:rsidRPr="00E733A3">
        <w:rPr>
          <w:rFonts w:ascii="Times New Roman" w:hAnsi="Times New Roman" w:cs="Times New Roman"/>
          <w:b/>
          <w:i/>
        </w:rPr>
        <w:t xml:space="preserve"> – Udio dospjelih i nedospjelih obveza za skupine 23 i 24 u ukupnim obvezama</w:t>
      </w:r>
    </w:p>
    <w:p w:rsidR="008F1511" w:rsidRDefault="008F1511" w:rsidP="00BF70A6">
      <w:pPr>
        <w:spacing w:after="0" w:line="240" w:lineRule="auto"/>
        <w:jc w:val="both"/>
        <w:rPr>
          <w:rFonts w:ascii="Times New Roman" w:hAnsi="Times New Roman" w:cs="Times New Roman"/>
          <w:b/>
          <w:i/>
        </w:rPr>
      </w:pPr>
    </w:p>
    <w:p w:rsidR="008F1511" w:rsidRDefault="008F1511" w:rsidP="00BF70A6">
      <w:pPr>
        <w:spacing w:after="0" w:line="240" w:lineRule="auto"/>
        <w:jc w:val="both"/>
        <w:rPr>
          <w:rFonts w:ascii="Times New Roman" w:hAnsi="Times New Roman" w:cs="Times New Roman"/>
          <w:b/>
          <w:i/>
        </w:rPr>
      </w:pPr>
    </w:p>
    <w:p w:rsidR="008F1511" w:rsidRPr="00E733A3" w:rsidRDefault="008F1511" w:rsidP="00BF70A6">
      <w:pPr>
        <w:spacing w:after="0" w:line="240" w:lineRule="auto"/>
        <w:jc w:val="both"/>
        <w:rPr>
          <w:rFonts w:ascii="Times New Roman" w:hAnsi="Times New Roman" w:cs="Times New Roman"/>
          <w:b/>
          <w:i/>
        </w:rPr>
      </w:pPr>
    </w:p>
    <w:p w:rsidR="00C14D26" w:rsidRDefault="00C14D26" w:rsidP="00BF70A6">
      <w:pPr>
        <w:spacing w:after="0" w:line="240" w:lineRule="auto"/>
        <w:jc w:val="both"/>
        <w:rPr>
          <w:rFonts w:ascii="Times New Roman" w:hAnsi="Times New Roman" w:cs="Times New Roman"/>
        </w:rPr>
      </w:pPr>
      <w:r w:rsidRPr="00C14D26">
        <w:rPr>
          <w:rFonts w:ascii="Times New Roman" w:hAnsi="Times New Roman" w:cs="Times New Roman"/>
          <w:noProof/>
          <w:lang w:eastAsia="hr-HR"/>
        </w:rPr>
        <w:drawing>
          <wp:inline distT="0" distB="0" distL="0" distR="0">
            <wp:extent cx="4886324" cy="2857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4D26" w:rsidRDefault="00C14D26" w:rsidP="00BF70A6">
      <w:pPr>
        <w:spacing w:after="0" w:line="240" w:lineRule="auto"/>
        <w:jc w:val="both"/>
        <w:rPr>
          <w:rFonts w:ascii="Times New Roman" w:hAnsi="Times New Roman" w:cs="Times New Roman"/>
        </w:rPr>
      </w:pPr>
    </w:p>
    <w:p w:rsidR="00C14D26" w:rsidRDefault="00C14D26" w:rsidP="00BF70A6">
      <w:pPr>
        <w:spacing w:after="0" w:line="240" w:lineRule="auto"/>
        <w:jc w:val="both"/>
        <w:rPr>
          <w:rFonts w:ascii="Times New Roman" w:hAnsi="Times New Roman" w:cs="Times New Roman"/>
        </w:rPr>
      </w:pPr>
    </w:p>
    <w:p w:rsidR="00F90D40" w:rsidRPr="00E733A3" w:rsidRDefault="00F90D40" w:rsidP="00F90D40">
      <w:pPr>
        <w:spacing w:after="0" w:line="240" w:lineRule="auto"/>
        <w:jc w:val="both"/>
        <w:rPr>
          <w:rFonts w:ascii="Times New Roman" w:hAnsi="Times New Roman" w:cs="Times New Roman"/>
          <w:b/>
          <w:i/>
        </w:rPr>
      </w:pPr>
      <w:r w:rsidRPr="00E733A3">
        <w:rPr>
          <w:rFonts w:ascii="Times New Roman" w:hAnsi="Times New Roman" w:cs="Times New Roman"/>
          <w:b/>
          <w:i/>
        </w:rPr>
        <w:t xml:space="preserve">Grafikon </w:t>
      </w:r>
      <w:r w:rsidR="00E733A3" w:rsidRPr="00E733A3">
        <w:rPr>
          <w:rFonts w:ascii="Times New Roman" w:hAnsi="Times New Roman" w:cs="Times New Roman"/>
          <w:b/>
          <w:i/>
        </w:rPr>
        <w:t>3</w:t>
      </w:r>
      <w:r w:rsidRPr="00E733A3">
        <w:rPr>
          <w:rFonts w:ascii="Times New Roman" w:hAnsi="Times New Roman" w:cs="Times New Roman"/>
          <w:b/>
          <w:i/>
        </w:rPr>
        <w:t xml:space="preserve"> – Udio dospjelih i nedospjelih obveza u ukupnim obvezama Grada Pule</w:t>
      </w:r>
    </w:p>
    <w:p w:rsidR="00C14D26" w:rsidRDefault="00C14D26" w:rsidP="00BF70A6">
      <w:pPr>
        <w:spacing w:after="0" w:line="240" w:lineRule="auto"/>
        <w:jc w:val="both"/>
        <w:rPr>
          <w:rFonts w:ascii="Times New Roman" w:hAnsi="Times New Roman" w:cs="Times New Roman"/>
        </w:rPr>
      </w:pPr>
    </w:p>
    <w:p w:rsidR="00C14D26" w:rsidRDefault="00F90D40" w:rsidP="00BF70A6">
      <w:pPr>
        <w:spacing w:after="0" w:line="240" w:lineRule="auto"/>
        <w:jc w:val="both"/>
        <w:rPr>
          <w:rFonts w:ascii="Times New Roman" w:hAnsi="Times New Roman" w:cs="Times New Roman"/>
        </w:rPr>
      </w:pPr>
      <w:r w:rsidRPr="00F90D40">
        <w:rPr>
          <w:rFonts w:ascii="Times New Roman" w:hAnsi="Times New Roman" w:cs="Times New Roman"/>
          <w:noProof/>
          <w:lang w:eastAsia="hr-HR"/>
        </w:rPr>
        <w:drawing>
          <wp:inline distT="0" distB="0" distL="0" distR="0">
            <wp:extent cx="3381375" cy="1895475"/>
            <wp:effectExtent l="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1511" w:rsidRDefault="008F1511" w:rsidP="008F1511">
      <w:pPr>
        <w:spacing w:line="240" w:lineRule="auto"/>
        <w:jc w:val="both"/>
        <w:rPr>
          <w:rFonts w:ascii="Times New Roman" w:hAnsi="Times New Roman" w:cs="Times New Roman"/>
        </w:rPr>
      </w:pPr>
    </w:p>
    <w:p w:rsidR="008F1511" w:rsidRDefault="008F1511" w:rsidP="008F1511">
      <w:pPr>
        <w:spacing w:line="240" w:lineRule="auto"/>
        <w:jc w:val="both"/>
        <w:rPr>
          <w:rFonts w:ascii="Times New Roman" w:hAnsi="Times New Roman" w:cs="Times New Roman"/>
        </w:rPr>
      </w:pPr>
      <w:r w:rsidRPr="00792A1F">
        <w:rPr>
          <w:rFonts w:ascii="Times New Roman" w:hAnsi="Times New Roman" w:cs="Times New Roman"/>
        </w:rPr>
        <w:t>231 - Obveze za zaposlene iznose 6.392.51</w:t>
      </w:r>
      <w:r>
        <w:rPr>
          <w:rFonts w:ascii="Times New Roman" w:hAnsi="Times New Roman" w:cs="Times New Roman"/>
        </w:rPr>
        <w:t>8</w:t>
      </w:r>
      <w:r w:rsidRPr="00792A1F">
        <w:rPr>
          <w:rFonts w:ascii="Times New Roman" w:hAnsi="Times New Roman" w:cs="Times New Roman"/>
        </w:rPr>
        <w:t xml:space="preserve"> kn</w:t>
      </w:r>
      <w:r>
        <w:rPr>
          <w:rFonts w:ascii="Times New Roman" w:hAnsi="Times New Roman" w:cs="Times New Roman"/>
        </w:rPr>
        <w:t xml:space="preserve"> te čine</w:t>
      </w:r>
      <w:r w:rsidRPr="00792A1F">
        <w:rPr>
          <w:rFonts w:ascii="Times New Roman" w:hAnsi="Times New Roman" w:cs="Times New Roman"/>
        </w:rPr>
        <w:t xml:space="preserve"> 24,</w:t>
      </w:r>
      <w:r>
        <w:rPr>
          <w:rFonts w:ascii="Times New Roman" w:hAnsi="Times New Roman" w:cs="Times New Roman"/>
        </w:rPr>
        <w:t>9</w:t>
      </w:r>
      <w:r w:rsidRPr="00792A1F">
        <w:rPr>
          <w:rFonts w:ascii="Times New Roman" w:hAnsi="Times New Roman" w:cs="Times New Roman"/>
        </w:rPr>
        <w:t>% ukupnih obveza, od čega se n</w:t>
      </w:r>
      <w:r>
        <w:rPr>
          <w:rFonts w:ascii="Times New Roman" w:hAnsi="Times New Roman" w:cs="Times New Roman"/>
        </w:rPr>
        <w:t>a Grad odnosi iznos od 2.211.174</w:t>
      </w:r>
      <w:r w:rsidRPr="00792A1F">
        <w:rPr>
          <w:rFonts w:ascii="Times New Roman" w:hAnsi="Times New Roman" w:cs="Times New Roman"/>
        </w:rPr>
        <w:t xml:space="preserve"> kn, dok udio proračunskih korisnika u ukupnom iznosu obveza za zaposlene čini 4.181.344 kn</w:t>
      </w:r>
      <w:r>
        <w:rPr>
          <w:rFonts w:ascii="Times New Roman" w:hAnsi="Times New Roman" w:cs="Times New Roman"/>
        </w:rPr>
        <w:t>, odnosno onaj dio koji se financira iz prihoda Grada.</w:t>
      </w:r>
    </w:p>
    <w:p w:rsidR="008F1511" w:rsidRPr="00792A1F" w:rsidRDefault="008F1511" w:rsidP="008F1511">
      <w:pPr>
        <w:spacing w:line="240" w:lineRule="auto"/>
        <w:jc w:val="both"/>
        <w:rPr>
          <w:rFonts w:ascii="Times New Roman" w:hAnsi="Times New Roman" w:cs="Times New Roman"/>
        </w:rPr>
      </w:pPr>
    </w:p>
    <w:p w:rsidR="008F1511" w:rsidRPr="00BF70A6" w:rsidRDefault="008F1511" w:rsidP="008F1511">
      <w:pPr>
        <w:spacing w:after="0" w:line="240" w:lineRule="auto"/>
        <w:jc w:val="both"/>
        <w:rPr>
          <w:rFonts w:ascii="Times New Roman" w:hAnsi="Times New Roman" w:cs="Times New Roman"/>
        </w:rPr>
      </w:pPr>
      <w:r w:rsidRPr="00BF70A6">
        <w:rPr>
          <w:rFonts w:ascii="Times New Roman" w:hAnsi="Times New Roman" w:cs="Times New Roman"/>
        </w:rPr>
        <w:t>232 – Obveze za materijalne rashode čine 3</w:t>
      </w:r>
      <w:r>
        <w:rPr>
          <w:rFonts w:ascii="Times New Roman" w:hAnsi="Times New Roman" w:cs="Times New Roman"/>
        </w:rPr>
        <w:t>9</w:t>
      </w:r>
      <w:r w:rsidRPr="00BF70A6">
        <w:rPr>
          <w:rFonts w:ascii="Times New Roman" w:hAnsi="Times New Roman" w:cs="Times New Roman"/>
        </w:rPr>
        <w:t>,</w:t>
      </w:r>
      <w:r>
        <w:rPr>
          <w:rFonts w:ascii="Times New Roman" w:hAnsi="Times New Roman" w:cs="Times New Roman"/>
        </w:rPr>
        <w:t>4</w:t>
      </w:r>
      <w:r w:rsidRPr="00BF70A6">
        <w:rPr>
          <w:rFonts w:ascii="Times New Roman" w:hAnsi="Times New Roman" w:cs="Times New Roman"/>
        </w:rPr>
        <w:t>% ukupnih obveza Grada i iznose 10.093.162 kn.</w:t>
      </w:r>
    </w:p>
    <w:p w:rsidR="008F1511" w:rsidRDefault="008F1511" w:rsidP="008F1511">
      <w:pPr>
        <w:spacing w:after="0" w:line="240" w:lineRule="auto"/>
        <w:jc w:val="both"/>
        <w:rPr>
          <w:rFonts w:ascii="Times New Roman" w:hAnsi="Times New Roman" w:cs="Times New Roman"/>
        </w:rPr>
      </w:pPr>
      <w:r w:rsidRPr="00BF70A6">
        <w:rPr>
          <w:rFonts w:ascii="Times New Roman" w:hAnsi="Times New Roman" w:cs="Times New Roman"/>
        </w:rPr>
        <w:t>Udio korisnika u navedenim obvezama iznosi 1.045.483 kn, a udio Grada 9.</w:t>
      </w:r>
      <w:r>
        <w:rPr>
          <w:rFonts w:ascii="Times New Roman" w:hAnsi="Times New Roman" w:cs="Times New Roman"/>
        </w:rPr>
        <w:t>047.679</w:t>
      </w:r>
      <w:r w:rsidRPr="00BF70A6">
        <w:rPr>
          <w:rFonts w:ascii="Times New Roman" w:hAnsi="Times New Roman" w:cs="Times New Roman"/>
        </w:rPr>
        <w:t xml:space="preserve"> kn. Najznačajniji iznos unutar navedene grupe čine obveze za rashode za usluge koje iznose 7.927.916 kn, a od kojih najznačajniji udio  čine obveze za komunalne usluge u iznosu od 6.254.454 kn.</w:t>
      </w:r>
    </w:p>
    <w:p w:rsidR="008F1511" w:rsidRDefault="008F1511" w:rsidP="008F1511">
      <w:pPr>
        <w:spacing w:after="0" w:line="240" w:lineRule="auto"/>
        <w:jc w:val="both"/>
        <w:rPr>
          <w:rFonts w:ascii="Times New Roman" w:hAnsi="Times New Roman" w:cs="Times New Roman"/>
        </w:rPr>
      </w:pPr>
    </w:p>
    <w:p w:rsidR="008F1511" w:rsidRDefault="008F1511" w:rsidP="008F1511">
      <w:pPr>
        <w:spacing w:after="0" w:line="240" w:lineRule="auto"/>
        <w:jc w:val="both"/>
        <w:rPr>
          <w:rFonts w:ascii="Times New Roman" w:hAnsi="Times New Roman" w:cs="Times New Roman"/>
        </w:rPr>
      </w:pPr>
    </w:p>
    <w:p w:rsidR="008F1511" w:rsidRDefault="008F1511" w:rsidP="008F1511">
      <w:pPr>
        <w:spacing w:after="0" w:line="240" w:lineRule="auto"/>
        <w:jc w:val="both"/>
        <w:rPr>
          <w:rFonts w:ascii="Times New Roman" w:hAnsi="Times New Roman" w:cs="Times New Roman"/>
        </w:rPr>
      </w:pPr>
      <w:r>
        <w:rPr>
          <w:rFonts w:ascii="Times New Roman" w:hAnsi="Times New Roman" w:cs="Times New Roman"/>
        </w:rPr>
        <w:t>234 – Obveze za financijske rashode čine tek neznačajan udio u ukupnim obvezama odnosno 1,0% i iznose 251.299 kn. Najznačajniji iznos odnosi se na obveze za kamate na kredite za izgradnju OŠ Veli Vrh, u iznosu od 202.472 kn.</w:t>
      </w:r>
    </w:p>
    <w:p w:rsidR="008F1511" w:rsidRDefault="008F1511" w:rsidP="008F1511">
      <w:pPr>
        <w:spacing w:after="0" w:line="240" w:lineRule="auto"/>
        <w:jc w:val="both"/>
        <w:rPr>
          <w:rFonts w:ascii="Times New Roman" w:hAnsi="Times New Roman" w:cs="Times New Roman"/>
        </w:rPr>
      </w:pPr>
    </w:p>
    <w:p w:rsidR="008F1511" w:rsidRDefault="008F1511" w:rsidP="008F1511">
      <w:pPr>
        <w:spacing w:after="0" w:line="240" w:lineRule="auto"/>
        <w:jc w:val="both"/>
        <w:rPr>
          <w:rFonts w:ascii="Times New Roman" w:hAnsi="Times New Roman" w:cs="Times New Roman"/>
        </w:rPr>
      </w:pPr>
    </w:p>
    <w:p w:rsidR="008F1511" w:rsidRDefault="008F1511" w:rsidP="008F1511">
      <w:pPr>
        <w:spacing w:after="0" w:line="240" w:lineRule="auto"/>
        <w:jc w:val="both"/>
        <w:rPr>
          <w:rFonts w:ascii="Times New Roman" w:hAnsi="Times New Roman" w:cs="Times New Roman"/>
        </w:rPr>
      </w:pPr>
      <w:r>
        <w:rPr>
          <w:rFonts w:ascii="Times New Roman" w:hAnsi="Times New Roman" w:cs="Times New Roman"/>
        </w:rPr>
        <w:t xml:space="preserve">235 – Obveze za subvencije iznose 79.958 kn, čine 0,3% ukupnih obveza i isključivo su obveze Grada Pule, a odnose se na otvorene obveze za sufinanciranje programa predškolskog odgoja za prosinac 2014. godine. </w:t>
      </w:r>
    </w:p>
    <w:p w:rsidR="008F1511" w:rsidRDefault="008F1511" w:rsidP="008F1511">
      <w:pPr>
        <w:spacing w:after="0" w:line="240" w:lineRule="auto"/>
        <w:jc w:val="both"/>
        <w:rPr>
          <w:rFonts w:ascii="Times New Roman" w:hAnsi="Times New Roman" w:cs="Times New Roman"/>
        </w:rPr>
      </w:pPr>
    </w:p>
    <w:p w:rsidR="008F1511" w:rsidRDefault="008F1511" w:rsidP="008F1511">
      <w:pPr>
        <w:spacing w:after="0" w:line="240" w:lineRule="auto"/>
        <w:jc w:val="both"/>
        <w:rPr>
          <w:rFonts w:ascii="Times New Roman" w:hAnsi="Times New Roman" w:cs="Times New Roman"/>
        </w:rPr>
      </w:pPr>
    </w:p>
    <w:p w:rsidR="008F1511" w:rsidRDefault="008F1511" w:rsidP="008F1511">
      <w:pPr>
        <w:spacing w:after="0" w:line="240" w:lineRule="auto"/>
        <w:jc w:val="both"/>
        <w:rPr>
          <w:rFonts w:ascii="Times New Roman" w:hAnsi="Times New Roman" w:cs="Times New Roman"/>
        </w:rPr>
      </w:pPr>
      <w:r>
        <w:rPr>
          <w:rFonts w:ascii="Times New Roman" w:hAnsi="Times New Roman" w:cs="Times New Roman"/>
        </w:rPr>
        <w:t>237 – Obveze za naknade građanima i kućanstvima iznose 136.093 kn odnosno 0,5% ukupnih obveza od čega se na obveze za ostale naknade građanima i kućanstvima u novcu odnosi iznos od 17.634 kn, a na obveze za ostale naknade građanima i kućanstvima u naravi iznos od 118.459 kn. Navedene obveze isključivo su obveze Grada.</w:t>
      </w:r>
    </w:p>
    <w:p w:rsidR="008F1511" w:rsidRDefault="008F1511" w:rsidP="008F1511">
      <w:pPr>
        <w:spacing w:after="0" w:line="240" w:lineRule="auto"/>
        <w:jc w:val="both"/>
        <w:rPr>
          <w:rFonts w:ascii="Times New Roman" w:hAnsi="Times New Roman" w:cs="Times New Roman"/>
        </w:rPr>
      </w:pPr>
    </w:p>
    <w:p w:rsidR="008F1511" w:rsidRDefault="008F1511" w:rsidP="008F1511">
      <w:pPr>
        <w:spacing w:after="0" w:line="240" w:lineRule="auto"/>
        <w:jc w:val="both"/>
        <w:rPr>
          <w:rFonts w:ascii="Times New Roman" w:hAnsi="Times New Roman" w:cs="Times New Roman"/>
        </w:rPr>
      </w:pPr>
      <w:r>
        <w:rPr>
          <w:rFonts w:ascii="Times New Roman" w:hAnsi="Times New Roman" w:cs="Times New Roman"/>
        </w:rPr>
        <w:t xml:space="preserve"> </w:t>
      </w:r>
    </w:p>
    <w:p w:rsidR="008F1511" w:rsidRDefault="008F1511" w:rsidP="008F1511">
      <w:pPr>
        <w:spacing w:after="0" w:line="240" w:lineRule="auto"/>
        <w:jc w:val="both"/>
        <w:rPr>
          <w:rFonts w:ascii="Times New Roman" w:hAnsi="Times New Roman" w:cs="Times New Roman"/>
        </w:rPr>
      </w:pPr>
      <w:r>
        <w:rPr>
          <w:rFonts w:ascii="Times New Roman" w:hAnsi="Times New Roman" w:cs="Times New Roman"/>
        </w:rPr>
        <w:t>2392 – Obveze za porez na dodanu vrijednost iznose 1.635.008 kn i čine 6,4% ukupnih obveza. Odnose se isključivo na obvezu Grada</w:t>
      </w:r>
      <w:r w:rsidRPr="00BF70A6">
        <w:rPr>
          <w:rFonts w:ascii="Times New Roman" w:hAnsi="Times New Roman" w:cs="Times New Roman"/>
        </w:rPr>
        <w:t xml:space="preserve"> </w:t>
      </w:r>
      <w:r>
        <w:rPr>
          <w:rFonts w:ascii="Times New Roman" w:hAnsi="Times New Roman" w:cs="Times New Roman"/>
        </w:rPr>
        <w:t>utvrđenu temeljem obračuna za prosinac 2014. godine.</w:t>
      </w:r>
    </w:p>
    <w:p w:rsidR="008F1511" w:rsidRDefault="008F1511" w:rsidP="008F1511">
      <w:pPr>
        <w:spacing w:after="0" w:line="240" w:lineRule="auto"/>
        <w:jc w:val="both"/>
        <w:rPr>
          <w:rFonts w:ascii="Times New Roman" w:hAnsi="Times New Roman" w:cs="Times New Roman"/>
        </w:rPr>
      </w:pPr>
    </w:p>
    <w:p w:rsidR="008F1511" w:rsidRDefault="008F1511" w:rsidP="008F1511">
      <w:pPr>
        <w:spacing w:after="0" w:line="240" w:lineRule="auto"/>
        <w:jc w:val="both"/>
        <w:rPr>
          <w:rFonts w:ascii="Times New Roman" w:hAnsi="Times New Roman" w:cs="Times New Roman"/>
        </w:rPr>
      </w:pPr>
    </w:p>
    <w:p w:rsidR="008F1511" w:rsidRDefault="008F1511" w:rsidP="008F1511">
      <w:pPr>
        <w:spacing w:after="0" w:line="240" w:lineRule="auto"/>
        <w:jc w:val="both"/>
        <w:rPr>
          <w:rFonts w:ascii="Times New Roman" w:hAnsi="Times New Roman" w:cs="Times New Roman"/>
        </w:rPr>
      </w:pPr>
      <w:r>
        <w:rPr>
          <w:rFonts w:ascii="Times New Roman" w:hAnsi="Times New Roman" w:cs="Times New Roman"/>
        </w:rPr>
        <w:t>23954 – Ostale nespomenute obveze iznose 674.491 kn što je 2,6% ukupnih obveza, a odnose se na:</w:t>
      </w:r>
    </w:p>
    <w:p w:rsidR="008F1511" w:rsidRDefault="008F1511" w:rsidP="008F1511">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naknadu za uređenje voda za stambene i poslovne prostore (5770) u iznosu od 256.410 kn,</w:t>
      </w:r>
    </w:p>
    <w:p w:rsidR="008F1511" w:rsidRDefault="008F1511" w:rsidP="008F1511">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naknadu za uređenje voda– zakupci (7722) – u iznosu od 2.759 kn,</w:t>
      </w:r>
    </w:p>
    <w:p w:rsidR="008F1511" w:rsidRDefault="008F1511" w:rsidP="008F1511">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obveze za povrat neutrošenih sredstava za decentralizaciju u iznosu od 5.151 kn,</w:t>
      </w:r>
    </w:p>
    <w:p w:rsidR="008F1511" w:rsidRDefault="008F1511" w:rsidP="008F1511">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obveza za uplatu 55% sredstava od prodaje stanova u državni proračun temeljem obračuna za prosinac 2014. godine u iznosu od 169.965 kn,</w:t>
      </w:r>
    </w:p>
    <w:p w:rsidR="008F1511" w:rsidRDefault="008F1511" w:rsidP="008F1511">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ostale nespomenute obveze po završnom računu –odnose se na prijenose po uplatnim računima te povrati za više uplaćeno u proračun u sveukupnom iznosu od 240.206 kn.</w:t>
      </w:r>
    </w:p>
    <w:p w:rsidR="008F1511" w:rsidRDefault="008F1511" w:rsidP="008F1511">
      <w:pPr>
        <w:spacing w:after="0" w:line="240" w:lineRule="auto"/>
        <w:ind w:left="360"/>
        <w:jc w:val="both"/>
        <w:rPr>
          <w:rFonts w:ascii="Times New Roman" w:hAnsi="Times New Roman" w:cs="Times New Roman"/>
        </w:rPr>
      </w:pPr>
    </w:p>
    <w:p w:rsidR="008F1511" w:rsidRDefault="008F1511" w:rsidP="008F1511">
      <w:pPr>
        <w:spacing w:after="0" w:line="240" w:lineRule="auto"/>
        <w:ind w:left="360"/>
        <w:jc w:val="both"/>
        <w:rPr>
          <w:rFonts w:ascii="Times New Roman" w:hAnsi="Times New Roman" w:cs="Times New Roman"/>
        </w:rPr>
      </w:pPr>
    </w:p>
    <w:p w:rsidR="008F1511" w:rsidRDefault="008F1511" w:rsidP="008F1511">
      <w:pPr>
        <w:spacing w:after="0" w:line="240" w:lineRule="auto"/>
        <w:jc w:val="both"/>
        <w:rPr>
          <w:rFonts w:ascii="Times New Roman" w:hAnsi="Times New Roman" w:cs="Times New Roman"/>
        </w:rPr>
      </w:pPr>
      <w:r>
        <w:rPr>
          <w:rFonts w:ascii="Times New Roman" w:hAnsi="Times New Roman" w:cs="Times New Roman"/>
        </w:rPr>
        <w:t>24 – Obveze za nabavu nefinancijske imovine iznose 6.376.615 kn odnosno 24,9% te glavnina se odnosi na obveze za izgradnju uređaja i objekata komunalne infrastrukture, sukladno programu gradnje uređaja i objekata</w:t>
      </w:r>
      <w:r w:rsidRPr="00792A1F">
        <w:rPr>
          <w:rFonts w:ascii="Times New Roman" w:hAnsi="Times New Roman" w:cs="Times New Roman"/>
        </w:rPr>
        <w:t xml:space="preserve"> </w:t>
      </w:r>
      <w:r>
        <w:rPr>
          <w:rFonts w:ascii="Times New Roman" w:hAnsi="Times New Roman" w:cs="Times New Roman"/>
        </w:rPr>
        <w:t>komunalne infrastrukture za 2014. godinu.</w:t>
      </w:r>
    </w:p>
    <w:p w:rsidR="00C14D26" w:rsidRDefault="00C14D26" w:rsidP="00BF70A6">
      <w:pPr>
        <w:spacing w:after="0" w:line="240" w:lineRule="auto"/>
        <w:jc w:val="both"/>
        <w:rPr>
          <w:rFonts w:ascii="Times New Roman" w:hAnsi="Times New Roman" w:cs="Times New Roman"/>
        </w:rPr>
      </w:pPr>
    </w:p>
    <w:p w:rsidR="00C14D26" w:rsidRDefault="00C14D26" w:rsidP="00BF70A6">
      <w:pPr>
        <w:spacing w:after="0" w:line="240" w:lineRule="auto"/>
        <w:jc w:val="both"/>
        <w:rPr>
          <w:rFonts w:ascii="Times New Roman" w:hAnsi="Times New Roman" w:cs="Times New Roman"/>
        </w:rPr>
      </w:pPr>
    </w:p>
    <w:p w:rsidR="008F1511" w:rsidRDefault="008F1511" w:rsidP="00BF70A6">
      <w:pPr>
        <w:spacing w:after="0" w:line="240" w:lineRule="auto"/>
        <w:jc w:val="both"/>
        <w:rPr>
          <w:rFonts w:ascii="Times New Roman" w:hAnsi="Times New Roman" w:cs="Times New Roman"/>
        </w:rPr>
      </w:pPr>
    </w:p>
    <w:p w:rsidR="008F1511" w:rsidRDefault="008F1511" w:rsidP="00BF70A6">
      <w:pPr>
        <w:spacing w:after="0" w:line="240" w:lineRule="auto"/>
        <w:jc w:val="both"/>
        <w:rPr>
          <w:rFonts w:ascii="Times New Roman" w:hAnsi="Times New Roman" w:cs="Times New Roman"/>
        </w:rPr>
      </w:pPr>
    </w:p>
    <w:p w:rsidR="001A0E4B" w:rsidRDefault="001A0E4B" w:rsidP="00BF70A6">
      <w:pPr>
        <w:spacing w:after="0" w:line="240" w:lineRule="auto"/>
        <w:jc w:val="both"/>
        <w:rPr>
          <w:rFonts w:ascii="Times New Roman" w:hAnsi="Times New Roman" w:cs="Times New Roman"/>
        </w:rPr>
      </w:pPr>
      <w:r>
        <w:rPr>
          <w:rFonts w:ascii="Times New Roman" w:hAnsi="Times New Roman" w:cs="Times New Roman"/>
        </w:rPr>
        <w:t>Pula, 31.12.2014. godine</w:t>
      </w:r>
    </w:p>
    <w:sectPr w:rsidR="001A0E4B" w:rsidSect="00E733A3">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C4B81"/>
    <w:multiLevelType w:val="hybridMultilevel"/>
    <w:tmpl w:val="0DEC5C2E"/>
    <w:lvl w:ilvl="0" w:tplc="F9828B56">
      <w:start w:val="239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2A1F"/>
    <w:rsid w:val="00097F53"/>
    <w:rsid w:val="001A0E4B"/>
    <w:rsid w:val="001A4CB5"/>
    <w:rsid w:val="00204ECF"/>
    <w:rsid w:val="003C0178"/>
    <w:rsid w:val="004927A2"/>
    <w:rsid w:val="00504AE4"/>
    <w:rsid w:val="00506D34"/>
    <w:rsid w:val="00542859"/>
    <w:rsid w:val="006F4BED"/>
    <w:rsid w:val="00792A1F"/>
    <w:rsid w:val="008E2151"/>
    <w:rsid w:val="008F1511"/>
    <w:rsid w:val="009663FC"/>
    <w:rsid w:val="00991368"/>
    <w:rsid w:val="00BA5438"/>
    <w:rsid w:val="00BF70A6"/>
    <w:rsid w:val="00C14D26"/>
    <w:rsid w:val="00C32F68"/>
    <w:rsid w:val="00C34DDE"/>
    <w:rsid w:val="00E733A3"/>
    <w:rsid w:val="00F90D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A1F"/>
    <w:pPr>
      <w:ind w:left="720"/>
      <w:contextualSpacing/>
    </w:pPr>
  </w:style>
  <w:style w:type="paragraph" w:styleId="BalloonText">
    <w:name w:val="Balloon Text"/>
    <w:basedOn w:val="Normal"/>
    <w:link w:val="BalloonTextChar"/>
    <w:uiPriority w:val="99"/>
    <w:semiHidden/>
    <w:unhideWhenUsed/>
    <w:rsid w:val="00792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778116">
      <w:bodyDiv w:val="1"/>
      <w:marLeft w:val="0"/>
      <w:marRight w:val="0"/>
      <w:marTop w:val="0"/>
      <w:marBottom w:val="0"/>
      <w:divBdr>
        <w:top w:val="none" w:sz="0" w:space="0" w:color="auto"/>
        <w:left w:val="none" w:sz="0" w:space="0" w:color="auto"/>
        <w:bottom w:val="none" w:sz="0" w:space="0" w:color="auto"/>
        <w:right w:val="none" w:sz="0" w:space="0" w:color="auto"/>
      </w:divBdr>
    </w:div>
    <w:div w:id="560679602">
      <w:bodyDiv w:val="1"/>
      <w:marLeft w:val="0"/>
      <w:marRight w:val="0"/>
      <w:marTop w:val="0"/>
      <w:marBottom w:val="0"/>
      <w:divBdr>
        <w:top w:val="none" w:sz="0" w:space="0" w:color="auto"/>
        <w:left w:val="none" w:sz="0" w:space="0" w:color="auto"/>
        <w:bottom w:val="none" w:sz="0" w:space="0" w:color="auto"/>
        <w:right w:val="none" w:sz="0" w:space="0" w:color="auto"/>
      </w:divBdr>
    </w:div>
    <w:div w:id="1221480298">
      <w:bodyDiv w:val="1"/>
      <w:marLeft w:val="0"/>
      <w:marRight w:val="0"/>
      <w:marTop w:val="0"/>
      <w:marBottom w:val="0"/>
      <w:divBdr>
        <w:top w:val="none" w:sz="0" w:space="0" w:color="auto"/>
        <w:left w:val="none" w:sz="0" w:space="0" w:color="auto"/>
        <w:bottom w:val="none" w:sz="0" w:space="0" w:color="auto"/>
        <w:right w:val="none" w:sz="0" w:space="0" w:color="auto"/>
      </w:divBdr>
    </w:div>
    <w:div w:id="19259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skopac\Desktop\FI%20PROBA%202014\obveze\Obveze%20na%2031.12.2014.%20sa%20grafi&#269;kim%20prikazo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skopac\Desktop\FI%20PROBA%202014\obveze\Obveze%20na%2031.12.2014.%20sa%20grafi&#269;kim%20prikazo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skopac\Desktop\FI%20PROBA%202014\obveze\Obveze%20na%2031.12.2014.%20sa%20grafi&#269;kim%20prikazo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plotArea>
      <c:layout/>
      <c:pieChart>
        <c:varyColors val="1"/>
        <c:ser>
          <c:idx val="0"/>
          <c:order val="0"/>
          <c:explosion val="27"/>
          <c:dLbls>
            <c:numFmt formatCode="0.0%" sourceLinked="0"/>
            <c:showPercent val="1"/>
            <c:showLeaderLines val="1"/>
          </c:dLbls>
          <c:cat>
            <c:multiLvlStrRef>
              <c:f>Sheet1!$A$3:$B$10</c:f>
              <c:multiLvlStrCache>
                <c:ptCount val="8"/>
                <c:lvl>
                  <c:pt idx="0">
                    <c:v>Obveze za zaposlene</c:v>
                  </c:pt>
                  <c:pt idx="1">
                    <c:v>Obveze za materijalne rashode</c:v>
                  </c:pt>
                  <c:pt idx="2">
                    <c:v>Obveze za financijske rashode</c:v>
                  </c:pt>
                  <c:pt idx="3">
                    <c:v>Obveze za subvencije</c:v>
                  </c:pt>
                  <c:pt idx="4">
                    <c:v>Obveze za naknade građanima i kućanstvima</c:v>
                  </c:pt>
                  <c:pt idx="5">
                    <c:v>Obveze za porez na dodanu vrijednost</c:v>
                  </c:pt>
                  <c:pt idx="6">
                    <c:v>Ostale nespomenute obveze</c:v>
                  </c:pt>
                  <c:pt idx="7">
                    <c:v>Obveze za nabavu nefinancijske imovine</c:v>
                  </c:pt>
                </c:lvl>
                <c:lvl>
                  <c:pt idx="0">
                    <c:v>231</c:v>
                  </c:pt>
                  <c:pt idx="1">
                    <c:v>232</c:v>
                  </c:pt>
                  <c:pt idx="2">
                    <c:v>234</c:v>
                  </c:pt>
                  <c:pt idx="3">
                    <c:v>235</c:v>
                  </c:pt>
                  <c:pt idx="4">
                    <c:v>237</c:v>
                  </c:pt>
                  <c:pt idx="5">
                    <c:v>2392</c:v>
                  </c:pt>
                  <c:pt idx="6">
                    <c:v>23954</c:v>
                  </c:pt>
                  <c:pt idx="7">
                    <c:v>24</c:v>
                  </c:pt>
                </c:lvl>
              </c:multiLvlStrCache>
            </c:multiLvlStrRef>
          </c:cat>
          <c:val>
            <c:numRef>
              <c:f>Sheet1!$C$3:$C$10</c:f>
              <c:numCache>
                <c:formatCode>#,##0</c:formatCode>
                <c:ptCount val="8"/>
                <c:pt idx="0">
                  <c:v>6392518</c:v>
                </c:pt>
                <c:pt idx="1">
                  <c:v>10093162</c:v>
                </c:pt>
                <c:pt idx="2">
                  <c:v>251299</c:v>
                </c:pt>
                <c:pt idx="3">
                  <c:v>79958</c:v>
                </c:pt>
                <c:pt idx="4">
                  <c:v>136093</c:v>
                </c:pt>
                <c:pt idx="5">
                  <c:v>1635008</c:v>
                </c:pt>
                <c:pt idx="6">
                  <c:v>674491</c:v>
                </c:pt>
                <c:pt idx="7">
                  <c:v>6376615</c:v>
                </c:pt>
              </c:numCache>
            </c:numRef>
          </c:val>
        </c:ser>
        <c:firstSliceAng val="0"/>
      </c:pieChart>
    </c:plotArea>
    <c:legend>
      <c:legendPos val="r"/>
      <c:layout>
        <c:manualLayout>
          <c:xMode val="edge"/>
          <c:yMode val="edge"/>
          <c:x val="0.65079847577192385"/>
          <c:y val="0.16552090527082261"/>
          <c:w val="0.34920152422807627"/>
          <c:h val="0.66895818945835495"/>
        </c:manualLayout>
      </c:layout>
      <c:txPr>
        <a:bodyPr/>
        <a:lstStyle/>
        <a:p>
          <a:pPr>
            <a:defRPr sz="1000" i="1"/>
          </a:pPr>
          <a:endParaRPr lang="sr-Latn-CS"/>
        </a:p>
      </c:txP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plotArea>
      <c:layout/>
      <c:pieChart>
        <c:varyColors val="1"/>
        <c:ser>
          <c:idx val="1"/>
          <c:order val="0"/>
          <c:cat>
            <c:multiLvlStrRef>
              <c:f>Sheet1!$A$52:$B$56</c:f>
              <c:multiLvlStrCache>
                <c:ptCount val="5"/>
                <c:lvl>
                  <c:pt idx="0">
                    <c:v>OBVEZE ZA RASHODE POSLOVANJA -DOSPJELE</c:v>
                  </c:pt>
                  <c:pt idx="1">
                    <c:v>OBVEZE ZA NABAVU NEFINANCIJSKE IMOVINE DOSPJELE</c:v>
                  </c:pt>
                  <c:pt idx="3">
                    <c:v>OBVEZE ZA RASHODE POSLOVANJA-NEDOSPJELO</c:v>
                  </c:pt>
                  <c:pt idx="4">
                    <c:v>OBVEZE ZA NABAVU NEFINANCIJSKE IMOVINE-NEDOSPJELO</c:v>
                  </c:pt>
                </c:lvl>
                <c:lvl>
                  <c:pt idx="0">
                    <c:v>23</c:v>
                  </c:pt>
                  <c:pt idx="1">
                    <c:v>24</c:v>
                  </c:pt>
                  <c:pt idx="2">
                    <c:v>NEDOSPJELE OBVEZE</c:v>
                  </c:pt>
                  <c:pt idx="3">
                    <c:v>23</c:v>
                  </c:pt>
                  <c:pt idx="4">
                    <c:v>24</c:v>
                  </c:pt>
                </c:lvl>
              </c:multiLvlStrCache>
            </c:multiLvlStrRef>
          </c:cat>
          <c:val>
            <c:numRef>
              <c:f>Sheet1!$D$52:$D$56</c:f>
              <c:numCache>
                <c:formatCode>0.0%</c:formatCode>
                <c:ptCount val="5"/>
                <c:pt idx="0">
                  <c:v>0.13483929104653433</c:v>
                </c:pt>
                <c:pt idx="1">
                  <c:v>4.4445750606962486E-2</c:v>
                </c:pt>
                <c:pt idx="3">
                  <c:v>0.61645447289503952</c:v>
                </c:pt>
                <c:pt idx="4">
                  <c:v>0.20426048545146475</c:v>
                </c:pt>
              </c:numCache>
            </c:numRef>
          </c:val>
        </c:ser>
        <c:firstSliceAng val="0"/>
      </c:pieChart>
    </c:plotArea>
    <c:legend>
      <c:legendPos val="r"/>
      <c:legendEntry>
        <c:idx val="2"/>
        <c:delete val="1"/>
      </c:legendEntry>
      <c:layout/>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view3D>
      <c:rotX val="30"/>
      <c:perspective val="30"/>
    </c:view3D>
    <c:plotArea>
      <c:layout/>
      <c:pie3DChart>
        <c:varyColors val="1"/>
        <c:ser>
          <c:idx val="0"/>
          <c:order val="0"/>
          <c:explosion val="13"/>
          <c:dLbls>
            <c:numFmt formatCode="0.00%" sourceLinked="0"/>
            <c:showPercent val="1"/>
            <c:showLeaderLines val="1"/>
          </c:dLbls>
          <c:cat>
            <c:strRef>
              <c:f>Sheet2!$B$1:$B$2</c:f>
              <c:strCache>
                <c:ptCount val="2"/>
                <c:pt idx="0">
                  <c:v>UKUPNO DOSPJELO</c:v>
                </c:pt>
                <c:pt idx="1">
                  <c:v>UKUPNO NEDOSPJELO</c:v>
                </c:pt>
              </c:strCache>
            </c:strRef>
          </c:cat>
          <c:val>
            <c:numRef>
              <c:f>Sheet2!$C$1:$C$2</c:f>
              <c:numCache>
                <c:formatCode>#,##0</c:formatCode>
                <c:ptCount val="2"/>
                <c:pt idx="0">
                  <c:v>4596715</c:v>
                </c:pt>
                <c:pt idx="1">
                  <c:v>21042429</c:v>
                </c:pt>
              </c:numCache>
            </c:numRef>
          </c:val>
        </c:ser>
      </c:pie3DChart>
    </c:plotArea>
    <c:legend>
      <c:legendPos val="r"/>
      <c:layout/>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9DBE1-26F9-4E82-86E9-DBB4C0A0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Škopac Koroman</dc:creator>
  <cp:lastModifiedBy>Katja Škopac Koroman</cp:lastModifiedBy>
  <cp:revision>15</cp:revision>
  <cp:lastPrinted>2015-02-16T11:28:00Z</cp:lastPrinted>
  <dcterms:created xsi:type="dcterms:W3CDTF">2015-02-06T12:21:00Z</dcterms:created>
  <dcterms:modified xsi:type="dcterms:W3CDTF">2015-02-16T11:28:00Z</dcterms:modified>
</cp:coreProperties>
</file>