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35" w:rsidRPr="00D131BD" w:rsidRDefault="00A55E35" w:rsidP="00A5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BD">
        <w:rPr>
          <w:rFonts w:ascii="Times New Roman" w:hAnsi="Times New Roman" w:cs="Times New Roman"/>
          <w:b/>
          <w:sz w:val="24"/>
          <w:szCs w:val="24"/>
        </w:rPr>
        <w:t>Bilješke uz obrazac PR-RAS za razdoblje od 01.01.-</w:t>
      </w:r>
      <w:r w:rsidR="00D131BD" w:rsidRPr="00D131BD">
        <w:rPr>
          <w:rFonts w:ascii="Times New Roman" w:hAnsi="Times New Roman" w:cs="Times New Roman"/>
          <w:b/>
          <w:sz w:val="24"/>
          <w:szCs w:val="24"/>
        </w:rPr>
        <w:t>31.12.2015. godine</w:t>
      </w:r>
    </w:p>
    <w:p w:rsidR="00A55E35" w:rsidRPr="00D131BD" w:rsidRDefault="00A55E35" w:rsidP="00A5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BD">
        <w:rPr>
          <w:rFonts w:ascii="Times New Roman" w:hAnsi="Times New Roman" w:cs="Times New Roman"/>
          <w:b/>
          <w:sz w:val="24"/>
          <w:szCs w:val="24"/>
        </w:rPr>
        <w:t>razina 22 izvještavanja</w:t>
      </w:r>
    </w:p>
    <w:p w:rsidR="00A55E35" w:rsidRDefault="00A55E35" w:rsidP="00A55E3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CA" w:rsidRDefault="00A769CA" w:rsidP="00A769CA">
      <w:pPr>
        <w:rPr>
          <w:sz w:val="24"/>
          <w:szCs w:val="24"/>
        </w:rPr>
      </w:pPr>
    </w:p>
    <w:p w:rsidR="00A769CA" w:rsidRPr="00A769CA" w:rsidRDefault="00A769CA" w:rsidP="00A769CA">
      <w:pPr>
        <w:rPr>
          <w:b/>
          <w:sz w:val="24"/>
          <w:szCs w:val="24"/>
        </w:rPr>
      </w:pPr>
      <w:r w:rsidRPr="00A769CA">
        <w:rPr>
          <w:b/>
          <w:sz w:val="24"/>
          <w:szCs w:val="24"/>
        </w:rPr>
        <w:t>Bilješka 2014. godina – inozemni kredit</w:t>
      </w:r>
    </w:p>
    <w:p w:rsidR="00A769CA" w:rsidRPr="00A769CA" w:rsidRDefault="00A769CA" w:rsidP="00A769CA">
      <w:pPr>
        <w:rPr>
          <w:i/>
          <w:sz w:val="24"/>
          <w:szCs w:val="24"/>
        </w:rPr>
      </w:pPr>
      <w:r w:rsidRPr="00A769CA">
        <w:rPr>
          <w:i/>
          <w:sz w:val="24"/>
          <w:szCs w:val="24"/>
        </w:rPr>
        <w:t>U obrascu PR-RAS je izmijenjen način evidentiranja inozemnih kredita - nije omogućen upis otplate inozemnih kredita bez da obrazac javi „grešku“.</w:t>
      </w:r>
      <w:r>
        <w:rPr>
          <w:i/>
          <w:sz w:val="24"/>
          <w:szCs w:val="24"/>
        </w:rPr>
        <w:t xml:space="preserve"> O problematici je izv</w:t>
      </w:r>
      <w:r w:rsidRPr="00A769CA">
        <w:rPr>
          <w:i/>
          <w:sz w:val="24"/>
          <w:szCs w:val="24"/>
        </w:rPr>
        <w:t>ješteno Ministarstvo financija i područni ured FINA-e u Puli.</w:t>
      </w:r>
      <w:r>
        <w:rPr>
          <w:i/>
          <w:sz w:val="24"/>
          <w:szCs w:val="24"/>
        </w:rPr>
        <w:t xml:space="preserve"> </w:t>
      </w:r>
      <w:r w:rsidRPr="00A769CA">
        <w:rPr>
          <w:i/>
          <w:sz w:val="24"/>
          <w:szCs w:val="24"/>
        </w:rPr>
        <w:t>Od M</w:t>
      </w:r>
      <w:r>
        <w:rPr>
          <w:i/>
          <w:sz w:val="24"/>
          <w:szCs w:val="24"/>
        </w:rPr>
        <w:t xml:space="preserve">inistarstva financija </w:t>
      </w:r>
      <w:r w:rsidRPr="00A769CA">
        <w:rPr>
          <w:i/>
          <w:sz w:val="24"/>
          <w:szCs w:val="24"/>
        </w:rPr>
        <w:t>smo dobili naputak da inozemni kredit evidentiramo na pravilnom AOP-u unatoč tome što će obrazac javljati „grešku</w:t>
      </w:r>
      <w:r w:rsidR="00911401">
        <w:rPr>
          <w:i/>
          <w:sz w:val="24"/>
          <w:szCs w:val="24"/>
        </w:rPr>
        <w:t>.</w:t>
      </w:r>
      <w:r w:rsidRPr="00A769CA">
        <w:rPr>
          <w:i/>
          <w:sz w:val="24"/>
          <w:szCs w:val="24"/>
        </w:rPr>
        <w:t>“</w:t>
      </w:r>
    </w:p>
    <w:p w:rsidR="00A769CA" w:rsidRPr="00A769CA" w:rsidRDefault="00A769CA" w:rsidP="00A769CA">
      <w:pPr>
        <w:rPr>
          <w:rFonts w:ascii="Times New Roman" w:hAnsi="Times New Roman" w:cs="Times New Roman"/>
          <w:sz w:val="24"/>
          <w:szCs w:val="24"/>
        </w:rPr>
      </w:pPr>
      <w:r w:rsidRPr="00A769CA">
        <w:rPr>
          <w:rFonts w:ascii="Times New Roman" w:hAnsi="Times New Roman" w:cs="Times New Roman"/>
          <w:sz w:val="24"/>
          <w:szCs w:val="24"/>
        </w:rPr>
        <w:t xml:space="preserve">Grad Pula se zadužio na stranom tržištu, kod Hypo Alpe-Adria-Bank AG Klagenfurt  01.07.2000. godine uz prethodnu suglasnost Ministarstva financija u iznosu od 5.584.926,94 CHF. Grad Pula je otplatio kredit u cijelosti do 30.06.2014. godine. </w:t>
      </w:r>
    </w:p>
    <w:p w:rsidR="00A769CA" w:rsidRDefault="00A769CA" w:rsidP="00A769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CA" w:rsidRDefault="00A769CA" w:rsidP="00A769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35" w:rsidRPr="00D131BD" w:rsidRDefault="00A55E35" w:rsidP="00A7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BD">
        <w:rPr>
          <w:rFonts w:ascii="Times New Roman" w:hAnsi="Times New Roman" w:cs="Times New Roman"/>
          <w:sz w:val="24"/>
          <w:szCs w:val="24"/>
        </w:rPr>
        <w:t xml:space="preserve">Okružnicom o predaji financijskih izvještaja za razdoblje od 01.01. do </w:t>
      </w:r>
      <w:r w:rsidR="00D131BD" w:rsidRPr="00D131BD">
        <w:rPr>
          <w:rFonts w:ascii="Times New Roman" w:hAnsi="Times New Roman" w:cs="Times New Roman"/>
          <w:sz w:val="24"/>
          <w:szCs w:val="24"/>
        </w:rPr>
        <w:t>31.12</w:t>
      </w:r>
      <w:r w:rsidR="00911401">
        <w:rPr>
          <w:rFonts w:ascii="Times New Roman" w:hAnsi="Times New Roman" w:cs="Times New Roman"/>
          <w:sz w:val="24"/>
          <w:szCs w:val="24"/>
        </w:rPr>
        <w:t>.</w:t>
      </w:r>
      <w:r w:rsidRPr="00D131BD">
        <w:rPr>
          <w:rFonts w:ascii="Times New Roman" w:hAnsi="Times New Roman" w:cs="Times New Roman"/>
          <w:sz w:val="24"/>
          <w:szCs w:val="24"/>
        </w:rPr>
        <w:t>2015. godine, Klasa: 400-01/15-01/55, UR.broj: 513-05-02-</w:t>
      </w:r>
      <w:r w:rsidR="00D131BD" w:rsidRPr="00D131BD">
        <w:rPr>
          <w:rFonts w:ascii="Times New Roman" w:hAnsi="Times New Roman" w:cs="Times New Roman"/>
          <w:sz w:val="24"/>
          <w:szCs w:val="24"/>
        </w:rPr>
        <w:t>16-10</w:t>
      </w:r>
      <w:r w:rsidRPr="00D131BD">
        <w:rPr>
          <w:rFonts w:ascii="Times New Roman" w:hAnsi="Times New Roman" w:cs="Times New Roman"/>
          <w:sz w:val="24"/>
          <w:szCs w:val="24"/>
        </w:rPr>
        <w:t xml:space="preserve"> od </w:t>
      </w:r>
      <w:r w:rsidR="00D131BD" w:rsidRPr="00D131BD">
        <w:rPr>
          <w:rFonts w:ascii="Times New Roman" w:hAnsi="Times New Roman" w:cs="Times New Roman"/>
          <w:sz w:val="24"/>
          <w:szCs w:val="24"/>
        </w:rPr>
        <w:t>13. siječnja 2016.</w:t>
      </w:r>
      <w:r w:rsidRPr="00D131BD">
        <w:rPr>
          <w:rFonts w:ascii="Times New Roman" w:hAnsi="Times New Roman" w:cs="Times New Roman"/>
          <w:sz w:val="24"/>
          <w:szCs w:val="24"/>
        </w:rPr>
        <w:t xml:space="preserve"> godine, razina 22 izvještavanja ističe da vijeća nacionalnih manjina i mjesne samouprave (mjesni odbori) ne moraju sastavljati zasebne financijske izvještaje ukoliko djeluju u okviru Grada. </w:t>
      </w:r>
      <w:r w:rsidR="00D131BD" w:rsidRPr="00D131BD">
        <w:rPr>
          <w:rFonts w:ascii="Times New Roman" w:hAnsi="Times New Roman" w:cs="Times New Roman"/>
          <w:sz w:val="24"/>
          <w:szCs w:val="24"/>
        </w:rPr>
        <w:t>Prihodi i rashodi</w:t>
      </w:r>
      <w:r w:rsidRPr="00D131BD">
        <w:rPr>
          <w:rFonts w:ascii="Times New Roman" w:hAnsi="Times New Roman" w:cs="Times New Roman"/>
          <w:sz w:val="24"/>
          <w:szCs w:val="24"/>
        </w:rPr>
        <w:t xml:space="preserve"> </w:t>
      </w:r>
      <w:r w:rsidR="00D131BD" w:rsidRPr="00D131BD">
        <w:rPr>
          <w:rFonts w:ascii="Times New Roman" w:hAnsi="Times New Roman" w:cs="Times New Roman"/>
          <w:sz w:val="24"/>
          <w:szCs w:val="24"/>
        </w:rPr>
        <w:t>vijeća nacionalnih manjina i mjesne samouprave</w:t>
      </w:r>
      <w:r w:rsidRPr="00D131BD">
        <w:rPr>
          <w:rFonts w:ascii="Times New Roman" w:hAnsi="Times New Roman" w:cs="Times New Roman"/>
          <w:sz w:val="24"/>
          <w:szCs w:val="24"/>
        </w:rPr>
        <w:t xml:space="preserve"> iskazuju se u obrascu PR</w:t>
      </w:r>
      <w:r w:rsidR="00D131BD" w:rsidRPr="00D131BD">
        <w:rPr>
          <w:rFonts w:ascii="Times New Roman" w:hAnsi="Times New Roman" w:cs="Times New Roman"/>
          <w:sz w:val="24"/>
          <w:szCs w:val="24"/>
        </w:rPr>
        <w:t>-</w:t>
      </w:r>
      <w:r w:rsidRPr="00D131BD">
        <w:rPr>
          <w:rFonts w:ascii="Times New Roman" w:hAnsi="Times New Roman" w:cs="Times New Roman"/>
          <w:sz w:val="24"/>
          <w:szCs w:val="24"/>
        </w:rPr>
        <w:t xml:space="preserve">RAS </w:t>
      </w:r>
      <w:r w:rsidR="00911401">
        <w:rPr>
          <w:rFonts w:ascii="Times New Roman" w:hAnsi="Times New Roman" w:cs="Times New Roman"/>
          <w:sz w:val="24"/>
          <w:szCs w:val="24"/>
        </w:rPr>
        <w:t xml:space="preserve">Grada </w:t>
      </w:r>
      <w:r w:rsidRPr="00D131BD">
        <w:rPr>
          <w:rFonts w:ascii="Times New Roman" w:hAnsi="Times New Roman" w:cs="Times New Roman"/>
          <w:sz w:val="24"/>
          <w:szCs w:val="24"/>
        </w:rPr>
        <w:t>prema prirodnoj vrsti</w:t>
      </w:r>
      <w:r w:rsidR="00D131BD" w:rsidRPr="00D131BD">
        <w:rPr>
          <w:rFonts w:ascii="Times New Roman" w:hAnsi="Times New Roman" w:cs="Times New Roman"/>
          <w:sz w:val="24"/>
          <w:szCs w:val="24"/>
        </w:rPr>
        <w:t xml:space="preserve"> prihoda odnosno troška.</w:t>
      </w:r>
    </w:p>
    <w:p w:rsidR="00D131BD" w:rsidRPr="00D131BD" w:rsidRDefault="00D131BD" w:rsidP="00A7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Pr="00D131BD" w:rsidRDefault="00D131BD" w:rsidP="00A7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BD">
        <w:rPr>
          <w:rFonts w:ascii="Times New Roman" w:hAnsi="Times New Roman" w:cs="Times New Roman"/>
          <w:sz w:val="24"/>
          <w:szCs w:val="24"/>
        </w:rPr>
        <w:t xml:space="preserve">Navedenom okružnicom propisano je da se stupac „Ostvareno u izvještajnom razdoblju prethodne godine“ prilagodi novim računima tako da se postigne usporedivost s postojećom godinom. </w:t>
      </w:r>
    </w:p>
    <w:p w:rsidR="00D131BD" w:rsidRPr="00D131BD" w:rsidRDefault="00D131BD" w:rsidP="00A7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D131BD" w:rsidP="00A7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BD">
        <w:rPr>
          <w:rFonts w:ascii="Times New Roman" w:hAnsi="Times New Roman" w:cs="Times New Roman"/>
          <w:sz w:val="24"/>
          <w:szCs w:val="24"/>
        </w:rPr>
        <w:t>Okružnicom o predaji financijskih izvještaja za razdoblje od 01.01. do 3</w:t>
      </w:r>
      <w:r w:rsidR="00911401">
        <w:rPr>
          <w:rFonts w:ascii="Times New Roman" w:hAnsi="Times New Roman" w:cs="Times New Roman"/>
          <w:sz w:val="24"/>
          <w:szCs w:val="24"/>
        </w:rPr>
        <w:t>1.12</w:t>
      </w:r>
      <w:r w:rsidRPr="00D131BD">
        <w:rPr>
          <w:rFonts w:ascii="Times New Roman" w:hAnsi="Times New Roman" w:cs="Times New Roman"/>
          <w:sz w:val="24"/>
          <w:szCs w:val="24"/>
        </w:rPr>
        <w:t xml:space="preserve">.2015. godine, Klasa: 400-01/15-01/55, UR.broj: 513-05-02-15-2 od 02. srpnja 2015. godine, detaljnije je razrađena uputa oko popunjavanja financijskih izvještaja, razina 22 izvještavanja. </w:t>
      </w:r>
    </w:p>
    <w:p w:rsidR="00D131BD" w:rsidRDefault="00D131BD" w:rsidP="00A7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D131BD" w:rsidP="00A7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BD">
        <w:rPr>
          <w:rFonts w:ascii="Times New Roman" w:hAnsi="Times New Roman" w:cs="Times New Roman"/>
          <w:sz w:val="24"/>
          <w:szCs w:val="24"/>
        </w:rPr>
        <w:t>Navedena Okružnica propisuje da se u razini 22 izvještavanja, prijenosi sredstava proračunskim korisnicima iskazuju na podskupini 367 – Prijenosi proračunskim korisnicima iz nadležnog proračuna za financiranje redovne djelatnosti sa pripadajućim podskupinama</w:t>
      </w:r>
      <w:r>
        <w:rPr>
          <w:rFonts w:ascii="Times New Roman" w:hAnsi="Times New Roman" w:cs="Times New Roman"/>
          <w:sz w:val="24"/>
          <w:szCs w:val="24"/>
        </w:rPr>
        <w:t>, a ne raspoređene prema prirodnoj vrsti i to isključivo prema novčanom načelu.</w:t>
      </w:r>
    </w:p>
    <w:p w:rsidR="00D131BD" w:rsidRDefault="00D131BD" w:rsidP="00A7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Neplaćeni rashodi i izdaci razreda 3, 4 i 5 financirani iz prihoda jedinice ne iskazuju se u obrascu PR-RAS. </w:t>
      </w:r>
    </w:p>
    <w:p w:rsidR="00D131BD" w:rsidRDefault="00D131BD" w:rsidP="00A7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navedenog, prilagodili smo AOP-e proteklog razdoblja na način da smo izuzeli rashode proračunskih korisnika koje je jedinica iz svojih prihoda financirala prema prirodnoj vrsti te ih iskazali na računu 367 - </w:t>
      </w:r>
      <w:r w:rsidRPr="00D131BD">
        <w:rPr>
          <w:rFonts w:ascii="Times New Roman" w:hAnsi="Times New Roman" w:cs="Times New Roman"/>
          <w:sz w:val="24"/>
          <w:szCs w:val="24"/>
        </w:rPr>
        <w:t>Prijenosi proračunskim korisnicima iz nadležnog proračuna za financiranje redovne djelatnosti sa pripadajućim podskupinama</w:t>
      </w:r>
      <w:r>
        <w:rPr>
          <w:rFonts w:ascii="Times New Roman" w:hAnsi="Times New Roman" w:cs="Times New Roman"/>
          <w:sz w:val="24"/>
          <w:szCs w:val="24"/>
        </w:rPr>
        <w:t>, a ne ra</w:t>
      </w:r>
      <w:r w:rsidR="002A50EB">
        <w:rPr>
          <w:rFonts w:ascii="Times New Roman" w:hAnsi="Times New Roman" w:cs="Times New Roman"/>
          <w:sz w:val="24"/>
          <w:szCs w:val="24"/>
        </w:rPr>
        <w:t>spoređene prema prirodnoj vrsti.</w:t>
      </w:r>
    </w:p>
    <w:p w:rsidR="00D131BD" w:rsidRDefault="00D131BD" w:rsidP="00C41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taj se način ukupni financijski rezultat nije promijenio u odnosu na dostavljene financijske izvještaje FINA-i, Državnom uredu za reviziju, ali su se promijenili iznosi ukupnih prihoda/primitaka i ukupnih rashoda/izdataka.</w:t>
      </w:r>
    </w:p>
    <w:p w:rsidR="00D131BD" w:rsidRDefault="00D131BD" w:rsidP="00C41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D131BD" w:rsidP="00C41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D131BD" w:rsidP="00A55E35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razliku od navedenog, razina 22 u istom razdoblju prethodne godine obuhvaćala je isključivo prihode i rashode same jedinice uz one rashode koje je jedinica iz svojih prihoda financirala proračunskom korisniku i to knjižene prema prirodnoj vrsti.</w:t>
      </w:r>
    </w:p>
    <w:p w:rsidR="00D131BD" w:rsidRDefault="00D131BD" w:rsidP="00A55E35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D131BD" w:rsidP="00A55E35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i do razlike u prikazu podataka o ukupnim novčanim sredstvima na računu jedinice koji se prikazuju u ukupnom iznosu</w:t>
      </w:r>
      <w:r w:rsidR="002A50EB">
        <w:rPr>
          <w:rFonts w:ascii="Times New Roman" w:hAnsi="Times New Roman" w:cs="Times New Roman"/>
          <w:sz w:val="24"/>
          <w:szCs w:val="24"/>
        </w:rPr>
        <w:t xml:space="preserve"> iz razloga što se uputom iz Okružnice za 2015. godinu iskazuju ukupna novčana sredstva dok su u 2014. godini iskazana novčana sredstva na računu umanjena za neutrošena namjenska i vlastita sredstva proračunskih korisnika</w:t>
      </w:r>
    </w:p>
    <w:p w:rsidR="00D131BD" w:rsidRDefault="00D131BD" w:rsidP="00A55E35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D131BD" w:rsidP="00D131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obrascu PR-RAS, u odnosu na pravila u popunjavanju prošlogodišnjeg obrasca, došlo je i do izmjena u prikazu broja zaposlenih na osnovi stanja i sati rada - u 2015. godini popunjavaju se podaci isključivo za jedinicu lokalne i regionalne samouprave – AOP644 i AOP646.</w:t>
      </w:r>
    </w:p>
    <w:p w:rsidR="00D131BD" w:rsidRDefault="00D131BD" w:rsidP="00D131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35" w:rsidRDefault="00A55E35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31BD">
        <w:rPr>
          <w:rFonts w:ascii="Times New Roman" w:hAnsi="Times New Roman" w:cs="Times New Roman"/>
          <w:b/>
          <w:sz w:val="20"/>
          <w:szCs w:val="20"/>
        </w:rPr>
        <w:t>PRIHOD POSLOVANJA (6)</w:t>
      </w:r>
      <w:r w:rsidRPr="00D131BD">
        <w:rPr>
          <w:rFonts w:ascii="Times New Roman" w:hAnsi="Times New Roman" w:cs="Times New Roman"/>
          <w:sz w:val="20"/>
          <w:szCs w:val="20"/>
        </w:rPr>
        <w:t xml:space="preserve"> / AOP001 </w:t>
      </w:r>
      <w:r w:rsidRPr="00D131BD">
        <w:rPr>
          <w:rFonts w:ascii="Times New Roman" w:hAnsi="Times New Roman" w:cs="Times New Roman"/>
          <w:sz w:val="20"/>
          <w:szCs w:val="20"/>
        </w:rPr>
        <w:tab/>
      </w:r>
      <w:r w:rsidRPr="00D131BD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62AC1">
        <w:rPr>
          <w:rFonts w:ascii="Times New Roman" w:hAnsi="Times New Roman" w:cs="Times New Roman"/>
          <w:sz w:val="20"/>
          <w:szCs w:val="20"/>
        </w:rPr>
        <w:t xml:space="preserve">    </w:t>
      </w:r>
      <w:r w:rsidR="00911401">
        <w:rPr>
          <w:rFonts w:ascii="Times New Roman" w:hAnsi="Times New Roman" w:cs="Times New Roman"/>
          <w:sz w:val="20"/>
          <w:szCs w:val="20"/>
        </w:rPr>
        <w:t xml:space="preserve"> 260.761.660</w:t>
      </w:r>
    </w:p>
    <w:p w:rsidR="00762AC1" w:rsidRPr="00D131BD" w:rsidRDefault="00762AC1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5E35" w:rsidRDefault="00A55E35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31BD">
        <w:rPr>
          <w:rFonts w:ascii="Times New Roman" w:hAnsi="Times New Roman" w:cs="Times New Roman"/>
          <w:b/>
          <w:sz w:val="20"/>
          <w:szCs w:val="20"/>
        </w:rPr>
        <w:t>RASHOD POSLOVANJA (3)</w:t>
      </w:r>
      <w:r w:rsidRPr="00D131BD">
        <w:rPr>
          <w:rFonts w:ascii="Times New Roman" w:hAnsi="Times New Roman" w:cs="Times New Roman"/>
          <w:sz w:val="20"/>
          <w:szCs w:val="20"/>
        </w:rPr>
        <w:t xml:space="preserve"> / </w:t>
      </w:r>
      <w:r w:rsidR="00911401">
        <w:rPr>
          <w:rFonts w:ascii="Times New Roman" w:hAnsi="Times New Roman" w:cs="Times New Roman"/>
          <w:sz w:val="20"/>
          <w:szCs w:val="20"/>
        </w:rPr>
        <w:t>AOP147/AOP272</w:t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62AC1">
        <w:rPr>
          <w:rFonts w:ascii="Times New Roman" w:hAnsi="Times New Roman" w:cs="Times New Roman"/>
          <w:sz w:val="20"/>
          <w:szCs w:val="20"/>
        </w:rPr>
        <w:t xml:space="preserve">    </w:t>
      </w:r>
      <w:r w:rsidR="00911401">
        <w:rPr>
          <w:rFonts w:ascii="Times New Roman" w:hAnsi="Times New Roman" w:cs="Times New Roman"/>
          <w:sz w:val="20"/>
          <w:szCs w:val="20"/>
        </w:rPr>
        <w:t xml:space="preserve"> 244.710.907</w:t>
      </w:r>
    </w:p>
    <w:p w:rsidR="00762AC1" w:rsidRPr="00D131BD" w:rsidRDefault="00762AC1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5E35" w:rsidRPr="002A50EB" w:rsidRDefault="00A55E35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VIŠAK PRIHODA POSLOVANJA / </w:t>
      </w:r>
      <w:r w:rsidRPr="002A50EB">
        <w:rPr>
          <w:rFonts w:ascii="Times New Roman" w:hAnsi="Times New Roman" w:cs="Times New Roman"/>
          <w:i/>
          <w:sz w:val="20"/>
          <w:szCs w:val="20"/>
        </w:rPr>
        <w:t>AOP273</w:t>
      </w:r>
      <w:r w:rsidR="0091140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11401" w:rsidRPr="002A50EB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</w:t>
      </w:r>
      <w:r w:rsidR="0091140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1140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11401" w:rsidRPr="002A50EB"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  <w:r w:rsidR="0091140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11401" w:rsidRPr="002A50EB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</w:t>
      </w:r>
      <w:r w:rsidR="00911401" w:rsidRPr="002A50EB">
        <w:rPr>
          <w:rFonts w:ascii="Times New Roman" w:hAnsi="Times New Roman" w:cs="Times New Roman"/>
          <w:i/>
          <w:sz w:val="20"/>
          <w:szCs w:val="20"/>
        </w:rPr>
        <w:t>16.050.753</w:t>
      </w:r>
    </w:p>
    <w:p w:rsidR="00762AC1" w:rsidRPr="00D131BD" w:rsidRDefault="00762AC1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5E35" w:rsidRDefault="00A55E35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31BD">
        <w:rPr>
          <w:rFonts w:ascii="Times New Roman" w:hAnsi="Times New Roman" w:cs="Times New Roman"/>
          <w:b/>
          <w:sz w:val="20"/>
          <w:szCs w:val="20"/>
        </w:rPr>
        <w:t>PRIHODI OD PRODAJE NEFINANCIJSKE IMOVINE (7)</w:t>
      </w:r>
      <w:r w:rsidR="00911401">
        <w:rPr>
          <w:rFonts w:ascii="Times New Roman" w:hAnsi="Times New Roman" w:cs="Times New Roman"/>
          <w:sz w:val="20"/>
          <w:szCs w:val="20"/>
        </w:rPr>
        <w:t xml:space="preserve"> / AOP281</w:t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</w:r>
      <w:r w:rsidR="00911401">
        <w:rPr>
          <w:rFonts w:ascii="Times New Roman" w:hAnsi="Times New Roman" w:cs="Times New Roman"/>
          <w:sz w:val="20"/>
          <w:szCs w:val="20"/>
        </w:rPr>
        <w:tab/>
        <w:t xml:space="preserve">        10.579.207</w:t>
      </w:r>
    </w:p>
    <w:p w:rsidR="00762AC1" w:rsidRPr="00D131BD" w:rsidRDefault="00762AC1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5E35" w:rsidRDefault="00911401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RASHODI ZA NABAVU</w:t>
      </w:r>
      <w:r w:rsidR="00A55E35" w:rsidRPr="00D131BD">
        <w:rPr>
          <w:rFonts w:ascii="Times New Roman" w:hAnsi="Times New Roman" w:cs="Times New Roman"/>
          <w:b/>
          <w:sz w:val="20"/>
          <w:szCs w:val="20"/>
        </w:rPr>
        <w:t xml:space="preserve"> NEFINANCIJSKE IMOVINE (4)</w:t>
      </w:r>
      <w:r w:rsidR="00A55E35" w:rsidRPr="00D131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AOP334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19.654.133</w:t>
      </w:r>
    </w:p>
    <w:p w:rsidR="00762AC1" w:rsidRPr="00D131BD" w:rsidRDefault="00762AC1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50EB" w:rsidRDefault="00911401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MANJAK PRIHODA OD </w:t>
      </w:r>
      <w:r w:rsidR="00A55E35"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NEFINANCIJSKE IMOVINE /  </w:t>
      </w:r>
      <w:r w:rsidR="00A55E35" w:rsidRPr="002A50EB">
        <w:rPr>
          <w:rFonts w:ascii="Times New Roman" w:hAnsi="Times New Roman" w:cs="Times New Roman"/>
          <w:i/>
          <w:sz w:val="20"/>
          <w:szCs w:val="20"/>
        </w:rPr>
        <w:t>AOP39</w:t>
      </w:r>
      <w:r w:rsidRPr="002A50EB">
        <w:rPr>
          <w:rFonts w:ascii="Times New Roman" w:hAnsi="Times New Roman" w:cs="Times New Roman"/>
          <w:i/>
          <w:sz w:val="20"/>
          <w:szCs w:val="20"/>
        </w:rPr>
        <w:t>7</w:t>
      </w:r>
      <w:r w:rsidR="00A55E35" w:rsidRPr="00D131BD">
        <w:rPr>
          <w:rFonts w:ascii="Times New Roman" w:hAnsi="Times New Roman" w:cs="Times New Roman"/>
          <w:b/>
          <w:sz w:val="20"/>
          <w:szCs w:val="20"/>
        </w:rPr>
        <w:tab/>
      </w:r>
    </w:p>
    <w:p w:rsidR="00911401" w:rsidRDefault="00A55E35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11401" w:rsidRPr="002A50EB">
        <w:rPr>
          <w:rFonts w:ascii="Times New Roman" w:hAnsi="Times New Roman" w:cs="Times New Roman"/>
          <w:i/>
          <w:sz w:val="20"/>
          <w:szCs w:val="20"/>
        </w:rPr>
        <w:t>9.074.926</w:t>
      </w:r>
    </w:p>
    <w:p w:rsidR="002A50EB" w:rsidRPr="002A50EB" w:rsidRDefault="002A50EB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55E35" w:rsidRDefault="00A55E35" w:rsidP="0076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D131BD">
        <w:rPr>
          <w:rFonts w:ascii="Times New Roman" w:hAnsi="Times New Roman" w:cs="Times New Roman"/>
          <w:b/>
          <w:sz w:val="20"/>
          <w:szCs w:val="20"/>
        </w:rPr>
        <w:t>PRIMICI OD FINANCIJSKE IMOVINE I ZADUŽIVANJA (8)</w:t>
      </w:r>
      <w:r w:rsidR="00762AC1">
        <w:rPr>
          <w:rFonts w:ascii="Times New Roman" w:hAnsi="Times New Roman" w:cs="Times New Roman"/>
          <w:sz w:val="20"/>
          <w:szCs w:val="20"/>
        </w:rPr>
        <w:t xml:space="preserve"> / AOP408</w:t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62AC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131BD">
        <w:rPr>
          <w:rFonts w:ascii="Times New Roman" w:hAnsi="Times New Roman" w:cs="Times New Roman"/>
          <w:sz w:val="20"/>
          <w:szCs w:val="20"/>
        </w:rPr>
        <w:t xml:space="preserve"> 1.159</w:t>
      </w:r>
    </w:p>
    <w:p w:rsidR="002A50EB" w:rsidRPr="00D131BD" w:rsidRDefault="002A50EB" w:rsidP="0076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A55E35" w:rsidRPr="002A50EB" w:rsidRDefault="00762AC1" w:rsidP="00A5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50EB">
        <w:rPr>
          <w:rFonts w:ascii="Times New Roman" w:hAnsi="Times New Roman" w:cs="Times New Roman"/>
          <w:b/>
          <w:sz w:val="20"/>
          <w:szCs w:val="20"/>
        </w:rPr>
        <w:t>IZDACI ZA FINANCIJSKU IMOVINU I OTPLATE ZAJMOVA</w:t>
      </w:r>
      <w:r w:rsidR="00A55E35" w:rsidRPr="002A50EB">
        <w:rPr>
          <w:rFonts w:ascii="Times New Roman" w:hAnsi="Times New Roman" w:cs="Times New Roman"/>
          <w:b/>
          <w:sz w:val="20"/>
          <w:szCs w:val="20"/>
        </w:rPr>
        <w:t xml:space="preserve"> (4)</w:t>
      </w:r>
      <w:r w:rsidRPr="002A50EB">
        <w:rPr>
          <w:rFonts w:ascii="Times New Roman" w:hAnsi="Times New Roman" w:cs="Times New Roman"/>
          <w:sz w:val="20"/>
          <w:szCs w:val="20"/>
        </w:rPr>
        <w:t xml:space="preserve"> / AOP519</w:t>
      </w:r>
      <w:r w:rsidRPr="002A50EB">
        <w:rPr>
          <w:rFonts w:ascii="Times New Roman" w:hAnsi="Times New Roman" w:cs="Times New Roman"/>
          <w:sz w:val="20"/>
          <w:szCs w:val="20"/>
        </w:rPr>
        <w:tab/>
      </w:r>
      <w:r w:rsidRPr="002A50EB">
        <w:rPr>
          <w:rFonts w:ascii="Times New Roman" w:hAnsi="Times New Roman" w:cs="Times New Roman"/>
          <w:sz w:val="20"/>
          <w:szCs w:val="20"/>
        </w:rPr>
        <w:tab/>
      </w:r>
      <w:r w:rsidRPr="002A50EB">
        <w:rPr>
          <w:rFonts w:ascii="Times New Roman" w:hAnsi="Times New Roman" w:cs="Times New Roman"/>
          <w:sz w:val="20"/>
          <w:szCs w:val="20"/>
        </w:rPr>
        <w:tab/>
        <w:t xml:space="preserve"> 6.124.282</w:t>
      </w:r>
    </w:p>
    <w:p w:rsidR="00762AC1" w:rsidRPr="00D131BD" w:rsidRDefault="00762AC1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A50EB" w:rsidRDefault="00A55E35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A50EB">
        <w:rPr>
          <w:rFonts w:ascii="Times New Roman" w:hAnsi="Times New Roman" w:cs="Times New Roman"/>
          <w:b/>
          <w:i/>
          <w:sz w:val="20"/>
          <w:szCs w:val="20"/>
        </w:rPr>
        <w:t>MANJAK PRIMITAKA</w:t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>OD FINANCIJSKE IMOVINE</w:t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 I OBVEZA</w:t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A50EB">
        <w:rPr>
          <w:rFonts w:ascii="Times New Roman" w:hAnsi="Times New Roman" w:cs="Times New Roman"/>
          <w:i/>
          <w:sz w:val="20"/>
          <w:szCs w:val="20"/>
        </w:rPr>
        <w:t>AOP628</w:t>
      </w:r>
      <w:r w:rsidRPr="002A50EB">
        <w:rPr>
          <w:rFonts w:ascii="Times New Roman" w:hAnsi="Times New Roman" w:cs="Times New Roman"/>
          <w:i/>
          <w:sz w:val="20"/>
          <w:szCs w:val="20"/>
        </w:rPr>
        <w:tab/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62AC1" w:rsidRDefault="00762AC1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0135C">
        <w:rPr>
          <w:rFonts w:ascii="Times New Roman" w:hAnsi="Times New Roman" w:cs="Times New Roman"/>
          <w:i/>
          <w:sz w:val="20"/>
          <w:szCs w:val="20"/>
        </w:rPr>
        <w:t>6.123.123</w:t>
      </w:r>
    </w:p>
    <w:p w:rsidR="002A50EB" w:rsidRPr="002A50EB" w:rsidRDefault="002A50EB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55E35" w:rsidRPr="00D131BD" w:rsidRDefault="00A55E35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762AC1">
        <w:rPr>
          <w:rFonts w:ascii="Times New Roman" w:hAnsi="Times New Roman" w:cs="Times New Roman"/>
          <w:b/>
          <w:sz w:val="20"/>
          <w:szCs w:val="20"/>
        </w:rPr>
        <w:t>UKUPNI PRIHODI</w:t>
      </w:r>
      <w:r w:rsidRPr="00D131BD">
        <w:rPr>
          <w:rFonts w:ascii="Times New Roman" w:hAnsi="Times New Roman" w:cs="Times New Roman"/>
          <w:sz w:val="20"/>
          <w:szCs w:val="20"/>
        </w:rPr>
        <w:t xml:space="preserve"> (6+7) / AOP401</w:t>
      </w:r>
      <w:r w:rsidRPr="00D131BD">
        <w:rPr>
          <w:rFonts w:ascii="Times New Roman" w:hAnsi="Times New Roman" w:cs="Times New Roman"/>
          <w:sz w:val="20"/>
          <w:szCs w:val="20"/>
        </w:rPr>
        <w:tab/>
      </w:r>
      <w:r w:rsidRPr="00D131BD">
        <w:rPr>
          <w:rFonts w:ascii="Times New Roman" w:hAnsi="Times New Roman" w:cs="Times New Roman"/>
          <w:sz w:val="20"/>
          <w:szCs w:val="20"/>
        </w:rPr>
        <w:tab/>
      </w:r>
      <w:r w:rsidRPr="00D131BD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  <w:t xml:space="preserve">     271.340.867</w:t>
      </w:r>
    </w:p>
    <w:p w:rsidR="00A55E35" w:rsidRPr="00D131BD" w:rsidRDefault="00A55E35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62AC1">
        <w:rPr>
          <w:rFonts w:ascii="Times New Roman" w:hAnsi="Times New Roman" w:cs="Times New Roman"/>
          <w:b/>
          <w:sz w:val="20"/>
          <w:szCs w:val="20"/>
        </w:rPr>
        <w:t>UKUPNI RASHODI</w:t>
      </w:r>
      <w:r w:rsidRPr="00D131BD">
        <w:rPr>
          <w:rFonts w:ascii="Times New Roman" w:hAnsi="Times New Roman" w:cs="Times New Roman"/>
          <w:sz w:val="20"/>
          <w:szCs w:val="20"/>
        </w:rPr>
        <w:t xml:space="preserve"> (3+4) / AOP402</w:t>
      </w:r>
      <w:r w:rsidRPr="00D131BD">
        <w:rPr>
          <w:rFonts w:ascii="Times New Roman" w:hAnsi="Times New Roman" w:cs="Times New Roman"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D131BD">
        <w:rPr>
          <w:rFonts w:ascii="Times New Roman" w:hAnsi="Times New Roman" w:cs="Times New Roman"/>
          <w:sz w:val="20"/>
          <w:szCs w:val="20"/>
        </w:rPr>
        <w:t xml:space="preserve">  </w:t>
      </w:r>
      <w:r w:rsidR="00762AC1">
        <w:rPr>
          <w:rFonts w:ascii="Times New Roman" w:hAnsi="Times New Roman" w:cs="Times New Roman"/>
          <w:sz w:val="20"/>
          <w:szCs w:val="20"/>
        </w:rPr>
        <w:t>264.365.040</w:t>
      </w:r>
    </w:p>
    <w:p w:rsidR="00A55E35" w:rsidRPr="002A50EB" w:rsidRDefault="00A55E35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  <w:r w:rsidRPr="002A50EB">
        <w:rPr>
          <w:rFonts w:ascii="Times New Roman" w:hAnsi="Times New Roman" w:cs="Times New Roman"/>
          <w:b/>
          <w:i/>
          <w:sz w:val="20"/>
          <w:szCs w:val="20"/>
        </w:rPr>
        <w:t>UKUPAN VIŠAK PRIHODA /</w:t>
      </w:r>
      <w:r w:rsidRPr="002A50EB">
        <w:rPr>
          <w:rFonts w:ascii="Times New Roman" w:hAnsi="Times New Roman" w:cs="Times New Roman"/>
          <w:i/>
          <w:sz w:val="20"/>
          <w:szCs w:val="20"/>
        </w:rPr>
        <w:t>AOP403</w:t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</w:t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</w:t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62AC1" w:rsidRPr="002A50EB">
        <w:rPr>
          <w:rFonts w:ascii="Times New Roman" w:hAnsi="Times New Roman" w:cs="Times New Roman"/>
          <w:i/>
          <w:sz w:val="20"/>
          <w:szCs w:val="20"/>
        </w:rPr>
        <w:t xml:space="preserve">          6.975.827</w:t>
      </w:r>
    </w:p>
    <w:p w:rsidR="00A55E35" w:rsidRPr="00D131BD" w:rsidRDefault="00A55E35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762AC1">
        <w:rPr>
          <w:rFonts w:ascii="Times New Roman" w:hAnsi="Times New Roman" w:cs="Times New Roman"/>
          <w:b/>
          <w:sz w:val="20"/>
          <w:szCs w:val="20"/>
        </w:rPr>
        <w:t>UKUPNI PRIHODI I PRIMICI</w:t>
      </w:r>
      <w:r w:rsidRPr="00D131BD">
        <w:rPr>
          <w:rFonts w:ascii="Times New Roman" w:hAnsi="Times New Roman" w:cs="Times New Roman"/>
          <w:sz w:val="20"/>
          <w:szCs w:val="20"/>
        </w:rPr>
        <w:t xml:space="preserve"> (6+7+</w:t>
      </w:r>
      <w:r w:rsidR="00762AC1">
        <w:rPr>
          <w:rFonts w:ascii="Times New Roman" w:hAnsi="Times New Roman" w:cs="Times New Roman"/>
          <w:sz w:val="20"/>
          <w:szCs w:val="20"/>
        </w:rPr>
        <w:t>8) / AOP631</w:t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</w:r>
      <w:r w:rsidR="00762AC1">
        <w:rPr>
          <w:rFonts w:ascii="Times New Roman" w:hAnsi="Times New Roman" w:cs="Times New Roman"/>
          <w:sz w:val="20"/>
          <w:szCs w:val="20"/>
        </w:rPr>
        <w:tab/>
        <w:t xml:space="preserve">      271.342.026</w:t>
      </w:r>
    </w:p>
    <w:p w:rsidR="00A55E35" w:rsidRPr="00D131BD" w:rsidRDefault="00A55E35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62AC1">
        <w:rPr>
          <w:rFonts w:ascii="Times New Roman" w:hAnsi="Times New Roman" w:cs="Times New Roman"/>
          <w:b/>
          <w:sz w:val="20"/>
          <w:szCs w:val="20"/>
        </w:rPr>
        <w:t>UKUPNI RASHODI I IZDACI</w:t>
      </w:r>
      <w:r w:rsidRPr="00D131BD">
        <w:rPr>
          <w:rFonts w:ascii="Times New Roman" w:hAnsi="Times New Roman" w:cs="Times New Roman"/>
          <w:sz w:val="20"/>
          <w:szCs w:val="20"/>
        </w:rPr>
        <w:t xml:space="preserve"> (3+4+5) / AOP632</w:t>
      </w:r>
      <w:r w:rsidRPr="00D131BD">
        <w:rPr>
          <w:rFonts w:ascii="Times New Roman" w:hAnsi="Times New Roman" w:cs="Times New Roman"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</w:r>
      <w:r w:rsidRPr="00D131BD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D131BD">
        <w:rPr>
          <w:rFonts w:ascii="Times New Roman" w:hAnsi="Times New Roman" w:cs="Times New Roman"/>
          <w:sz w:val="20"/>
          <w:szCs w:val="20"/>
        </w:rPr>
        <w:t xml:space="preserve"> </w:t>
      </w:r>
      <w:r w:rsidR="00762AC1">
        <w:rPr>
          <w:rFonts w:ascii="Times New Roman" w:hAnsi="Times New Roman" w:cs="Times New Roman"/>
          <w:sz w:val="20"/>
          <w:szCs w:val="20"/>
        </w:rPr>
        <w:t xml:space="preserve">  270.489.322</w:t>
      </w:r>
    </w:p>
    <w:p w:rsidR="00A55E35" w:rsidRPr="002A50EB" w:rsidRDefault="00A55E35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  <w:r w:rsidRPr="002A50EB">
        <w:rPr>
          <w:rFonts w:ascii="Times New Roman" w:hAnsi="Times New Roman" w:cs="Times New Roman"/>
          <w:b/>
          <w:i/>
          <w:sz w:val="20"/>
          <w:szCs w:val="20"/>
        </w:rPr>
        <w:lastRenderedPageBreak/>
        <w:t>VIŠAK PRIHODA I PRIMITAKA /</w:t>
      </w:r>
      <w:r w:rsidRPr="002A50EB">
        <w:rPr>
          <w:rFonts w:ascii="Times New Roman" w:hAnsi="Times New Roman" w:cs="Times New Roman"/>
          <w:i/>
          <w:sz w:val="20"/>
          <w:szCs w:val="20"/>
        </w:rPr>
        <w:t>AOP633</w:t>
      </w:r>
      <w:r w:rsidRPr="002A50EB">
        <w:rPr>
          <w:rFonts w:ascii="Times New Roman" w:hAnsi="Times New Roman" w:cs="Times New Roman"/>
          <w:i/>
          <w:sz w:val="20"/>
          <w:szCs w:val="20"/>
        </w:rPr>
        <w:tab/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</w:t>
      </w:r>
      <w:r w:rsidR="00762AC1" w:rsidRPr="002A50EB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</w:t>
      </w:r>
      <w:r w:rsidR="00762AC1" w:rsidRPr="002A50EB">
        <w:rPr>
          <w:rFonts w:ascii="Times New Roman" w:hAnsi="Times New Roman" w:cs="Times New Roman"/>
          <w:i/>
          <w:sz w:val="20"/>
          <w:szCs w:val="20"/>
        </w:rPr>
        <w:t>852.704</w:t>
      </w:r>
    </w:p>
    <w:p w:rsidR="00A55E35" w:rsidRPr="00D131BD" w:rsidRDefault="00A55E35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762AC1">
        <w:rPr>
          <w:rFonts w:ascii="Times New Roman" w:hAnsi="Times New Roman" w:cs="Times New Roman"/>
          <w:b/>
          <w:sz w:val="20"/>
          <w:szCs w:val="20"/>
        </w:rPr>
        <w:t>MANJAK PRIHODA I PRIMITAKA -PRENESENI</w:t>
      </w:r>
      <w:r w:rsidRPr="00D131BD">
        <w:rPr>
          <w:rFonts w:ascii="Times New Roman" w:hAnsi="Times New Roman" w:cs="Times New Roman"/>
          <w:sz w:val="20"/>
          <w:szCs w:val="20"/>
        </w:rPr>
        <w:t xml:space="preserve"> /AOP276/AOP406/AOP636 </w:t>
      </w:r>
      <w:r w:rsidRPr="00D131BD">
        <w:rPr>
          <w:rFonts w:ascii="Times New Roman" w:hAnsi="Times New Roman" w:cs="Times New Roman"/>
          <w:sz w:val="20"/>
          <w:szCs w:val="20"/>
        </w:rPr>
        <w:tab/>
      </w:r>
      <w:r w:rsidRPr="00D131B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131BD">
        <w:rPr>
          <w:rFonts w:ascii="Times New Roman" w:hAnsi="Times New Roman" w:cs="Times New Roman"/>
          <w:sz w:val="20"/>
          <w:szCs w:val="20"/>
        </w:rPr>
        <w:tab/>
        <w:t xml:space="preserve">       2.376.868</w:t>
      </w:r>
    </w:p>
    <w:p w:rsidR="00EC219C" w:rsidRPr="002A50EB" w:rsidRDefault="00EC219C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2A50EB">
        <w:rPr>
          <w:rFonts w:ascii="Times New Roman" w:hAnsi="Times New Roman" w:cs="Times New Roman"/>
          <w:b/>
          <w:i/>
          <w:sz w:val="20"/>
          <w:szCs w:val="20"/>
        </w:rPr>
        <w:t>MANJAK</w:t>
      </w:r>
      <w:r w:rsidR="00A55E35"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 PRIHODA I PRIMITAKA </w:t>
      </w:r>
      <w:r w:rsidRPr="002A50EB">
        <w:rPr>
          <w:rFonts w:ascii="Times New Roman" w:hAnsi="Times New Roman" w:cs="Times New Roman"/>
          <w:b/>
          <w:i/>
          <w:sz w:val="20"/>
          <w:szCs w:val="20"/>
        </w:rPr>
        <w:t xml:space="preserve">ZA POKRIĆE U SLJEDEĆEM </w:t>
      </w:r>
      <w:r w:rsidR="00A55E35" w:rsidRPr="002A50EB">
        <w:rPr>
          <w:rFonts w:ascii="Times New Roman" w:hAnsi="Times New Roman" w:cs="Times New Roman"/>
          <w:b/>
          <w:i/>
          <w:sz w:val="20"/>
          <w:szCs w:val="20"/>
        </w:rPr>
        <w:t>RAZDOBLJU (UKUPNI REZULTAT)</w:t>
      </w:r>
      <w:r w:rsidRPr="002A50EB">
        <w:rPr>
          <w:rFonts w:ascii="Times New Roman" w:hAnsi="Times New Roman" w:cs="Times New Roman"/>
          <w:i/>
          <w:sz w:val="20"/>
          <w:szCs w:val="20"/>
        </w:rPr>
        <w:t>/</w:t>
      </w:r>
      <w:r w:rsidR="00A55E35" w:rsidRPr="002A50EB">
        <w:rPr>
          <w:rFonts w:ascii="Times New Roman" w:hAnsi="Times New Roman" w:cs="Times New Roman"/>
          <w:i/>
          <w:sz w:val="20"/>
          <w:szCs w:val="20"/>
        </w:rPr>
        <w:t xml:space="preserve"> AOP637</w:t>
      </w:r>
      <w:r w:rsidR="00A55E35" w:rsidRPr="002A50EB">
        <w:rPr>
          <w:rFonts w:ascii="Times New Roman" w:hAnsi="Times New Roman" w:cs="Times New Roman"/>
          <w:i/>
          <w:sz w:val="20"/>
          <w:szCs w:val="20"/>
        </w:rPr>
        <w:tab/>
      </w:r>
      <w:r w:rsidR="00A55E35" w:rsidRPr="002A50EB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A55E35" w:rsidRPr="002A50EB">
        <w:rPr>
          <w:rFonts w:ascii="Times New Roman" w:hAnsi="Times New Roman" w:cs="Times New Roman"/>
          <w:i/>
          <w:sz w:val="20"/>
          <w:szCs w:val="20"/>
        </w:rPr>
        <w:tab/>
      </w:r>
      <w:r w:rsidR="00A55E35" w:rsidRPr="002A50EB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</w:p>
    <w:p w:rsidR="00A55E35" w:rsidRPr="00EC219C" w:rsidRDefault="00EC219C" w:rsidP="002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C219C">
        <w:rPr>
          <w:rFonts w:ascii="Times New Roman" w:hAnsi="Times New Roman" w:cs="Times New Roman"/>
          <w:sz w:val="20"/>
          <w:szCs w:val="20"/>
        </w:rPr>
        <w:t>1.524.164</w:t>
      </w:r>
    </w:p>
    <w:p w:rsidR="00A55E35" w:rsidRPr="00D131BD" w:rsidRDefault="00A55E35" w:rsidP="00A55E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5E35" w:rsidRPr="00D131BD" w:rsidRDefault="00A55E35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31BD">
        <w:rPr>
          <w:rFonts w:ascii="Times New Roman" w:hAnsi="Times New Roman" w:cs="Times New Roman"/>
          <w:sz w:val="24"/>
          <w:szCs w:val="24"/>
        </w:rPr>
        <w:t xml:space="preserve">Budući da je Ministarstvo financija propisalo </w:t>
      </w:r>
      <w:r w:rsidR="00EC219C">
        <w:rPr>
          <w:rFonts w:ascii="Times New Roman" w:hAnsi="Times New Roman" w:cs="Times New Roman"/>
          <w:sz w:val="24"/>
          <w:szCs w:val="24"/>
        </w:rPr>
        <w:t>da se decentralizirana sredstva</w:t>
      </w:r>
      <w:r w:rsidRPr="00D131BD">
        <w:rPr>
          <w:rFonts w:ascii="Times New Roman" w:hAnsi="Times New Roman" w:cs="Times New Roman"/>
          <w:sz w:val="24"/>
          <w:szCs w:val="24"/>
        </w:rPr>
        <w:t xml:space="preserve"> namijenjena proračunskim korisnicima (Javna vatrogasna postrojba i osnovne škole), smatraju prihodom Grada</w:t>
      </w:r>
      <w:r w:rsidR="00D131BD">
        <w:rPr>
          <w:rFonts w:ascii="Times New Roman" w:hAnsi="Times New Roman" w:cs="Times New Roman"/>
          <w:sz w:val="24"/>
          <w:szCs w:val="24"/>
        </w:rPr>
        <w:t>,</w:t>
      </w:r>
      <w:r w:rsidRPr="00D131BD">
        <w:rPr>
          <w:rFonts w:ascii="Times New Roman" w:hAnsi="Times New Roman" w:cs="Times New Roman"/>
          <w:sz w:val="24"/>
          <w:szCs w:val="24"/>
        </w:rPr>
        <w:t xml:space="preserve"> ukupni prihodi poslovanja uvećani su za decentralizirana sredstva u periodu </w:t>
      </w:r>
      <w:r w:rsidR="00D131BD">
        <w:rPr>
          <w:rFonts w:ascii="Times New Roman" w:hAnsi="Times New Roman" w:cs="Times New Roman"/>
          <w:sz w:val="24"/>
          <w:szCs w:val="24"/>
        </w:rPr>
        <w:t xml:space="preserve">od 01.01.2015. </w:t>
      </w:r>
      <w:r w:rsidRPr="00D131BD">
        <w:rPr>
          <w:rFonts w:ascii="Times New Roman" w:hAnsi="Times New Roman" w:cs="Times New Roman"/>
          <w:sz w:val="24"/>
          <w:szCs w:val="24"/>
        </w:rPr>
        <w:t xml:space="preserve">do </w:t>
      </w:r>
      <w:r w:rsidR="00D131BD">
        <w:rPr>
          <w:rFonts w:ascii="Times New Roman" w:hAnsi="Times New Roman" w:cs="Times New Roman"/>
          <w:sz w:val="24"/>
          <w:szCs w:val="24"/>
        </w:rPr>
        <w:t>31.12.2015. godine</w:t>
      </w:r>
      <w:r w:rsidR="00EC219C">
        <w:rPr>
          <w:rFonts w:ascii="Times New Roman" w:hAnsi="Times New Roman" w:cs="Times New Roman"/>
          <w:sz w:val="24"/>
          <w:szCs w:val="24"/>
        </w:rPr>
        <w:t>.</w:t>
      </w:r>
      <w:r w:rsidRPr="00D131BD">
        <w:rPr>
          <w:rFonts w:ascii="Times New Roman" w:hAnsi="Times New Roman" w:cs="Times New Roman"/>
          <w:sz w:val="24"/>
          <w:szCs w:val="24"/>
        </w:rPr>
        <w:t xml:space="preserve"> </w:t>
      </w:r>
      <w:r w:rsidR="00EC219C">
        <w:rPr>
          <w:rFonts w:ascii="Times New Roman" w:hAnsi="Times New Roman" w:cs="Times New Roman"/>
          <w:sz w:val="24"/>
          <w:szCs w:val="24"/>
        </w:rPr>
        <w:t>Navedena sredstv</w:t>
      </w:r>
      <w:r w:rsidRPr="00D131BD">
        <w:rPr>
          <w:rFonts w:ascii="Times New Roman" w:hAnsi="Times New Roman" w:cs="Times New Roman"/>
          <w:sz w:val="24"/>
          <w:szCs w:val="24"/>
        </w:rPr>
        <w:t>a namijenjena</w:t>
      </w:r>
      <w:r w:rsidR="00EC219C">
        <w:rPr>
          <w:rFonts w:ascii="Times New Roman" w:hAnsi="Times New Roman" w:cs="Times New Roman"/>
          <w:sz w:val="24"/>
          <w:szCs w:val="24"/>
        </w:rPr>
        <w:t xml:space="preserve"> su proračunskim korisnicima</w:t>
      </w:r>
      <w:r w:rsidRPr="00D131BD">
        <w:rPr>
          <w:rFonts w:ascii="Times New Roman" w:hAnsi="Times New Roman" w:cs="Times New Roman"/>
          <w:sz w:val="24"/>
          <w:szCs w:val="24"/>
        </w:rPr>
        <w:t xml:space="preserve">, Javna vatrogasna postrojba </w:t>
      </w:r>
      <w:r w:rsidR="00EC219C">
        <w:rPr>
          <w:rFonts w:ascii="Times New Roman" w:hAnsi="Times New Roman" w:cs="Times New Roman"/>
          <w:sz w:val="24"/>
          <w:szCs w:val="24"/>
        </w:rPr>
        <w:t xml:space="preserve">te </w:t>
      </w:r>
      <w:r w:rsidR="00D131BD">
        <w:rPr>
          <w:rFonts w:ascii="Times New Roman" w:hAnsi="Times New Roman" w:cs="Times New Roman"/>
          <w:sz w:val="24"/>
          <w:szCs w:val="24"/>
        </w:rPr>
        <w:t xml:space="preserve">osnovnim školama - </w:t>
      </w:r>
      <w:r w:rsidRPr="00D131BD">
        <w:rPr>
          <w:rFonts w:ascii="Times New Roman" w:hAnsi="Times New Roman" w:cs="Times New Roman"/>
          <w:sz w:val="24"/>
          <w:szCs w:val="24"/>
        </w:rPr>
        <w:t xml:space="preserve">u sveukupnom iznosu od </w:t>
      </w:r>
      <w:r w:rsidR="00D131BD">
        <w:rPr>
          <w:rFonts w:ascii="Times New Roman" w:hAnsi="Times New Roman" w:cs="Times New Roman"/>
          <w:sz w:val="24"/>
          <w:szCs w:val="24"/>
        </w:rPr>
        <w:t>18.617.837 kn</w:t>
      </w:r>
      <w:r w:rsidRPr="00D13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35" w:rsidRPr="00D131BD" w:rsidRDefault="00A55E35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1BD" w:rsidRPr="00D131BD" w:rsidRDefault="00D131BD" w:rsidP="00A55E3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5E35" w:rsidRPr="00D131BD" w:rsidRDefault="00A55E35" w:rsidP="00A55E3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31BD">
        <w:rPr>
          <w:rFonts w:ascii="Times New Roman" w:hAnsi="Times New Roman" w:cs="Times New Roman"/>
          <w:b/>
          <w:sz w:val="24"/>
          <w:szCs w:val="24"/>
        </w:rPr>
        <w:t>AOP00</w:t>
      </w:r>
      <w:r w:rsidR="002A50EB">
        <w:rPr>
          <w:rFonts w:ascii="Times New Roman" w:hAnsi="Times New Roman" w:cs="Times New Roman"/>
          <w:b/>
          <w:sz w:val="24"/>
          <w:szCs w:val="24"/>
        </w:rPr>
        <w:t>3</w:t>
      </w:r>
      <w:r w:rsidRPr="00D131BD">
        <w:rPr>
          <w:rFonts w:ascii="Times New Roman" w:hAnsi="Times New Roman" w:cs="Times New Roman"/>
          <w:b/>
          <w:sz w:val="24"/>
          <w:szCs w:val="24"/>
        </w:rPr>
        <w:t>/611 POREZ I PRIREZ NA</w:t>
      </w:r>
      <w:r w:rsidR="00145A91">
        <w:rPr>
          <w:rFonts w:ascii="Times New Roman" w:hAnsi="Times New Roman" w:cs="Times New Roman"/>
          <w:b/>
          <w:sz w:val="24"/>
          <w:szCs w:val="24"/>
        </w:rPr>
        <w:t xml:space="preserve"> DOHODAK iznosi </w:t>
      </w:r>
      <w:r w:rsidR="002A50EB">
        <w:rPr>
          <w:rFonts w:ascii="Times New Roman" w:hAnsi="Times New Roman" w:cs="Times New Roman"/>
          <w:b/>
          <w:sz w:val="24"/>
          <w:szCs w:val="24"/>
        </w:rPr>
        <w:t>123.727.445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 kn </w:t>
      </w:r>
    </w:p>
    <w:p w:rsidR="00A55E35" w:rsidRPr="00D131BD" w:rsidRDefault="002A50EB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55E35" w:rsidRPr="00D131BD">
        <w:rPr>
          <w:rFonts w:ascii="Times New Roman" w:hAnsi="Times New Roman" w:cs="Times New Roman"/>
          <w:sz w:val="24"/>
          <w:szCs w:val="24"/>
        </w:rPr>
        <w:t xml:space="preserve"> razdoblju od 01.01. do 3</w:t>
      </w:r>
      <w:r w:rsidR="00D131BD" w:rsidRPr="00D131BD">
        <w:rPr>
          <w:rFonts w:ascii="Times New Roman" w:hAnsi="Times New Roman" w:cs="Times New Roman"/>
          <w:sz w:val="24"/>
          <w:szCs w:val="24"/>
        </w:rPr>
        <w:t xml:space="preserve">1.12.2015. godine, </w:t>
      </w:r>
      <w:r w:rsidR="00DE0B7F">
        <w:rPr>
          <w:rFonts w:ascii="Times New Roman" w:hAnsi="Times New Roman" w:cs="Times New Roman"/>
          <w:sz w:val="24"/>
          <w:szCs w:val="24"/>
        </w:rPr>
        <w:t xml:space="preserve"> prihod 611- Porez i prire</w:t>
      </w:r>
      <w:r w:rsidR="00A55E35" w:rsidRPr="00D131BD">
        <w:rPr>
          <w:rFonts w:ascii="Times New Roman" w:hAnsi="Times New Roman" w:cs="Times New Roman"/>
          <w:sz w:val="24"/>
          <w:szCs w:val="24"/>
        </w:rPr>
        <w:t xml:space="preserve">z na dohodak iznosi </w:t>
      </w:r>
      <w:r>
        <w:rPr>
          <w:rFonts w:ascii="Times New Roman" w:hAnsi="Times New Roman" w:cs="Times New Roman"/>
          <w:sz w:val="24"/>
          <w:szCs w:val="24"/>
        </w:rPr>
        <w:t>123.727.445</w:t>
      </w:r>
      <w:r w:rsidR="00A55E35" w:rsidRPr="00D131B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A55E35" w:rsidRPr="00D131BD" w:rsidRDefault="00A55E35" w:rsidP="00A55E3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5E35" w:rsidRDefault="00D131BD" w:rsidP="00A55E3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31BD">
        <w:rPr>
          <w:rFonts w:ascii="Times New Roman" w:hAnsi="Times New Roman" w:cs="Times New Roman"/>
          <w:b/>
          <w:sz w:val="24"/>
          <w:szCs w:val="24"/>
        </w:rPr>
        <w:t xml:space="preserve">AOP057/6331 </w:t>
      </w:r>
      <w:r w:rsidR="00A55E35" w:rsidRPr="00D131BD">
        <w:rPr>
          <w:rFonts w:ascii="Times New Roman" w:hAnsi="Times New Roman" w:cs="Times New Roman"/>
          <w:b/>
          <w:sz w:val="24"/>
          <w:szCs w:val="24"/>
        </w:rPr>
        <w:t>TEKUĆE POMOĆI PRORAČUNU IZ DRUGIH PRORAČUNA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91">
        <w:rPr>
          <w:rFonts w:ascii="Times New Roman" w:hAnsi="Times New Roman" w:cs="Times New Roman"/>
          <w:b/>
          <w:sz w:val="24"/>
          <w:szCs w:val="24"/>
        </w:rPr>
        <w:t xml:space="preserve">iznosi 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6.035.800 </w:t>
      </w:r>
      <w:r w:rsidR="00A55E35" w:rsidRPr="00D131BD">
        <w:rPr>
          <w:rFonts w:ascii="Times New Roman" w:hAnsi="Times New Roman" w:cs="Times New Roman"/>
          <w:b/>
          <w:sz w:val="24"/>
          <w:szCs w:val="24"/>
        </w:rPr>
        <w:t>kn</w:t>
      </w:r>
    </w:p>
    <w:p w:rsidR="002A50EB" w:rsidRPr="002A50EB" w:rsidRDefault="002A50EB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0EB">
        <w:rPr>
          <w:rFonts w:ascii="Times New Roman" w:hAnsi="Times New Roman" w:cs="Times New Roman"/>
          <w:sz w:val="24"/>
          <w:szCs w:val="24"/>
        </w:rPr>
        <w:t>U navedeni iznos uključene su:</w:t>
      </w:r>
    </w:p>
    <w:p w:rsidR="00A55E35" w:rsidRPr="00D131BD" w:rsidRDefault="00A55E35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31BD">
        <w:rPr>
          <w:rFonts w:ascii="Times New Roman" w:hAnsi="Times New Roman" w:cs="Times New Roman"/>
          <w:sz w:val="24"/>
          <w:szCs w:val="24"/>
        </w:rPr>
        <w:t xml:space="preserve">- Tekuće pomoći iz gradskih proračuna (JVP - dec) u iznosu od </w:t>
      </w:r>
      <w:r w:rsidR="00D131BD" w:rsidRPr="00D131BD">
        <w:rPr>
          <w:rFonts w:ascii="Times New Roman" w:hAnsi="Times New Roman" w:cs="Times New Roman"/>
          <w:sz w:val="24"/>
          <w:szCs w:val="24"/>
        </w:rPr>
        <w:t>584.927</w:t>
      </w:r>
      <w:r w:rsidRPr="00D131BD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A55E35" w:rsidRPr="00D131BD" w:rsidRDefault="00A55E35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31BD">
        <w:rPr>
          <w:rFonts w:ascii="Times New Roman" w:hAnsi="Times New Roman" w:cs="Times New Roman"/>
          <w:sz w:val="24"/>
          <w:szCs w:val="24"/>
        </w:rPr>
        <w:t xml:space="preserve">- Tekuće pomoći iz općinskih proračuna (JVP - dec) u iznosu od </w:t>
      </w:r>
      <w:r w:rsidR="00D131BD" w:rsidRPr="00D131BD">
        <w:rPr>
          <w:rFonts w:ascii="Times New Roman" w:hAnsi="Times New Roman" w:cs="Times New Roman"/>
          <w:sz w:val="24"/>
          <w:szCs w:val="24"/>
        </w:rPr>
        <w:t>2.218.682</w:t>
      </w:r>
      <w:r w:rsidR="002A50E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A55E35" w:rsidRPr="00D131BD" w:rsidRDefault="00A55E35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5E35" w:rsidRPr="00D131BD" w:rsidRDefault="00D131BD" w:rsidP="00A55E3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AOP063/6351 TEKUĆE POM. </w:t>
      </w:r>
      <w:r w:rsidR="00A55E35" w:rsidRPr="00D131BD">
        <w:rPr>
          <w:rFonts w:ascii="Times New Roman" w:hAnsi="Times New Roman" w:cs="Times New Roman"/>
          <w:b/>
          <w:sz w:val="24"/>
          <w:szCs w:val="24"/>
        </w:rPr>
        <w:t>IZRAVNANJA ZA DECENTRALIZ</w:t>
      </w:r>
      <w:r>
        <w:rPr>
          <w:rFonts w:ascii="Times New Roman" w:hAnsi="Times New Roman" w:cs="Times New Roman"/>
          <w:b/>
          <w:sz w:val="24"/>
          <w:szCs w:val="24"/>
        </w:rPr>
        <w:t xml:space="preserve">IRANE </w:t>
      </w:r>
      <w:r w:rsidR="00A55E35" w:rsidRPr="00D131BD">
        <w:rPr>
          <w:rFonts w:ascii="Times New Roman" w:hAnsi="Times New Roman" w:cs="Times New Roman"/>
          <w:b/>
          <w:sz w:val="24"/>
          <w:szCs w:val="24"/>
        </w:rPr>
        <w:t>FUNKCIJE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91">
        <w:rPr>
          <w:rFonts w:ascii="Times New Roman" w:hAnsi="Times New Roman" w:cs="Times New Roman"/>
          <w:b/>
          <w:sz w:val="24"/>
          <w:szCs w:val="24"/>
        </w:rPr>
        <w:t>iznosi</w:t>
      </w:r>
      <w:r w:rsidR="00A55E35" w:rsidRPr="00D1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EB">
        <w:rPr>
          <w:rFonts w:ascii="Times New Roman" w:hAnsi="Times New Roman" w:cs="Times New Roman"/>
          <w:b/>
          <w:sz w:val="24"/>
          <w:szCs w:val="24"/>
        </w:rPr>
        <w:t>9.371.104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E35" w:rsidRPr="00D131BD">
        <w:rPr>
          <w:rFonts w:ascii="Times New Roman" w:hAnsi="Times New Roman" w:cs="Times New Roman"/>
          <w:b/>
          <w:sz w:val="24"/>
          <w:szCs w:val="24"/>
        </w:rPr>
        <w:t>kn</w:t>
      </w:r>
    </w:p>
    <w:p w:rsidR="00A55E35" w:rsidRDefault="00D131B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Cjelokupni </w:t>
      </w:r>
      <w:r w:rsidR="00A55E35" w:rsidRPr="00D131BD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2A50EB">
        <w:rPr>
          <w:rFonts w:ascii="Times New Roman" w:hAnsi="Times New Roman" w:cs="Times New Roman"/>
          <w:sz w:val="24"/>
          <w:szCs w:val="24"/>
        </w:rPr>
        <w:t xml:space="preserve">decentralizirana sredstva za </w:t>
      </w:r>
      <w:r>
        <w:rPr>
          <w:rFonts w:ascii="Times New Roman" w:hAnsi="Times New Roman" w:cs="Times New Roman"/>
          <w:sz w:val="24"/>
          <w:szCs w:val="24"/>
        </w:rPr>
        <w:t>proračunskog korisnika Javn</w:t>
      </w:r>
      <w:r w:rsidR="002A50E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vatrogasn</w:t>
      </w:r>
      <w:r w:rsidR="002A50E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postrojb</w:t>
      </w:r>
      <w:r w:rsidR="002A50EB">
        <w:rPr>
          <w:rFonts w:ascii="Times New Roman" w:hAnsi="Times New Roman" w:cs="Times New Roman"/>
          <w:sz w:val="24"/>
          <w:szCs w:val="24"/>
        </w:rPr>
        <w:t>u i osnovne škole.</w:t>
      </w:r>
    </w:p>
    <w:p w:rsidR="002A50EB" w:rsidRDefault="002A50EB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1BD" w:rsidRPr="00D131BD" w:rsidRDefault="00D131BD" w:rsidP="00D131B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AOP064/6352 KAPITALNE POM. </w:t>
      </w:r>
      <w:r w:rsidRPr="00D131BD">
        <w:rPr>
          <w:rFonts w:ascii="Times New Roman" w:hAnsi="Times New Roman" w:cs="Times New Roman"/>
          <w:b/>
          <w:sz w:val="24"/>
          <w:szCs w:val="24"/>
        </w:rPr>
        <w:t>IZRAVNANJA ZA DECENTRALIZ</w:t>
      </w:r>
      <w:r>
        <w:rPr>
          <w:rFonts w:ascii="Times New Roman" w:hAnsi="Times New Roman" w:cs="Times New Roman"/>
          <w:b/>
          <w:sz w:val="24"/>
          <w:szCs w:val="24"/>
        </w:rPr>
        <w:t xml:space="preserve">IRANE </w:t>
      </w:r>
      <w:r w:rsidRPr="00D131BD">
        <w:rPr>
          <w:rFonts w:ascii="Times New Roman" w:hAnsi="Times New Roman" w:cs="Times New Roman"/>
          <w:b/>
          <w:sz w:val="24"/>
          <w:szCs w:val="24"/>
        </w:rPr>
        <w:t>FUNKCIJE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91">
        <w:rPr>
          <w:rFonts w:ascii="Times New Roman" w:hAnsi="Times New Roman" w:cs="Times New Roman"/>
          <w:b/>
          <w:sz w:val="24"/>
          <w:szCs w:val="24"/>
        </w:rPr>
        <w:t>iznosi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1.623.873 </w:t>
      </w:r>
      <w:r w:rsidRPr="00D131BD">
        <w:rPr>
          <w:rFonts w:ascii="Times New Roman" w:hAnsi="Times New Roman" w:cs="Times New Roman"/>
          <w:b/>
          <w:sz w:val="24"/>
          <w:szCs w:val="24"/>
        </w:rPr>
        <w:t>kn</w:t>
      </w:r>
    </w:p>
    <w:p w:rsidR="00D131BD" w:rsidRPr="00D131BD" w:rsidRDefault="00D131BD" w:rsidP="00D131B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Cjelokupni </w:t>
      </w:r>
      <w:r w:rsidRPr="00D131BD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odnosi se na proračunske korisnike-osnovne škole</w:t>
      </w:r>
      <w:r w:rsidR="002A50EB">
        <w:rPr>
          <w:rFonts w:ascii="Times New Roman" w:hAnsi="Times New Roman" w:cs="Times New Roman"/>
          <w:sz w:val="24"/>
          <w:szCs w:val="24"/>
        </w:rPr>
        <w:t>.</w:t>
      </w:r>
      <w:r w:rsidRPr="00D1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BD" w:rsidRDefault="00D131B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5E35" w:rsidRPr="00D131BD" w:rsidRDefault="00A55E35" w:rsidP="00A55E3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31BD">
        <w:rPr>
          <w:rFonts w:ascii="Times New Roman" w:hAnsi="Times New Roman" w:cs="Times New Roman"/>
          <w:b/>
          <w:sz w:val="24"/>
          <w:szCs w:val="24"/>
        </w:rPr>
        <w:t xml:space="preserve">AOP147 / 3 RASHODI POSLOVANJA iznose </w:t>
      </w:r>
      <w:r w:rsidR="006C3E8D" w:rsidRPr="00F8325B">
        <w:rPr>
          <w:rFonts w:ascii="Times New Roman" w:hAnsi="Times New Roman" w:cs="Times New Roman"/>
          <w:b/>
          <w:sz w:val="24"/>
          <w:szCs w:val="24"/>
        </w:rPr>
        <w:t>244.710.907</w:t>
      </w:r>
      <w:r w:rsidRPr="00F8325B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F83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E35" w:rsidRDefault="00A55E35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ukupnih rashoda koji iznose 244.</w:t>
      </w:r>
      <w:r w:rsidR="006C3E8D">
        <w:rPr>
          <w:rFonts w:ascii="Times New Roman" w:hAnsi="Times New Roman" w:cs="Times New Roman"/>
          <w:sz w:val="24"/>
          <w:szCs w:val="24"/>
        </w:rPr>
        <w:t>710.907</w:t>
      </w:r>
      <w:r>
        <w:rPr>
          <w:rFonts w:ascii="Times New Roman" w:hAnsi="Times New Roman" w:cs="Times New Roman"/>
          <w:sz w:val="24"/>
          <w:szCs w:val="24"/>
        </w:rPr>
        <w:t xml:space="preserve"> kn iznos od 59.</w:t>
      </w:r>
      <w:r w:rsidR="006C3E8D">
        <w:rPr>
          <w:rFonts w:ascii="Times New Roman" w:hAnsi="Times New Roman" w:cs="Times New Roman"/>
          <w:sz w:val="24"/>
          <w:szCs w:val="24"/>
        </w:rPr>
        <w:t>293.726</w:t>
      </w:r>
      <w:r>
        <w:rPr>
          <w:rFonts w:ascii="Times New Roman" w:hAnsi="Times New Roman" w:cs="Times New Roman"/>
          <w:sz w:val="24"/>
          <w:szCs w:val="24"/>
        </w:rPr>
        <w:t xml:space="preserve"> kn se odnosi na prijenose proračunskim korisnicima iz proračuna (AOP234) i to: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iznos od 57.</w:t>
      </w:r>
      <w:r w:rsidR="006C3E8D">
        <w:rPr>
          <w:rFonts w:ascii="Times New Roman" w:hAnsi="Times New Roman" w:cs="Times New Roman"/>
          <w:sz w:val="24"/>
          <w:szCs w:val="24"/>
        </w:rPr>
        <w:t>702.176</w:t>
      </w:r>
      <w:r>
        <w:rPr>
          <w:rFonts w:ascii="Times New Roman" w:hAnsi="Times New Roman" w:cs="Times New Roman"/>
          <w:sz w:val="24"/>
          <w:szCs w:val="24"/>
        </w:rPr>
        <w:t xml:space="preserve"> kn za financiranje rashoda poslovanja,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iznos od 462.668 kn za financiranje rashoda za nabavu nefinancijske imovine i 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iznos od 1.128.882 kn za financiranje izdataka za otplatu zajmova – u cijelosti se odnosi na financiranje kredita</w:t>
      </w:r>
      <w:r w:rsidR="002A50EB">
        <w:rPr>
          <w:rFonts w:ascii="Times New Roman" w:hAnsi="Times New Roman" w:cs="Times New Roman"/>
          <w:sz w:val="24"/>
          <w:szCs w:val="24"/>
        </w:rPr>
        <w:t xml:space="preserve"> za izgradnju</w:t>
      </w:r>
      <w:r>
        <w:rPr>
          <w:rFonts w:ascii="Times New Roman" w:hAnsi="Times New Roman" w:cs="Times New Roman"/>
          <w:sz w:val="24"/>
          <w:szCs w:val="24"/>
        </w:rPr>
        <w:t xml:space="preserve"> Dječjeg vrtića Pula - „Zvijezdice“.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AOP148 Rashodi za zaposlene – </w:t>
      </w:r>
      <w:r w:rsidR="004665CE">
        <w:rPr>
          <w:rFonts w:ascii="Times New Roman" w:hAnsi="Times New Roman" w:cs="Times New Roman"/>
          <w:sz w:val="24"/>
          <w:szCs w:val="24"/>
        </w:rPr>
        <w:t>ostvareni</w:t>
      </w:r>
      <w:r>
        <w:rPr>
          <w:rFonts w:ascii="Times New Roman" w:hAnsi="Times New Roman" w:cs="Times New Roman"/>
          <w:sz w:val="24"/>
          <w:szCs w:val="24"/>
        </w:rPr>
        <w:t xml:space="preserve"> su u iznosu od 26.424.453 kn te bilježe smanjenje u odnosu na 2014. godinu za 1,80%</w:t>
      </w:r>
      <w:r w:rsidR="00F8325B">
        <w:rPr>
          <w:rFonts w:ascii="Times New Roman" w:hAnsi="Times New Roman" w:cs="Times New Roman"/>
          <w:sz w:val="24"/>
          <w:szCs w:val="24"/>
        </w:rPr>
        <w:t xml:space="preserve">. Od ukupng iznosa </w:t>
      </w:r>
      <w:r>
        <w:rPr>
          <w:rFonts w:ascii="Times New Roman" w:hAnsi="Times New Roman" w:cs="Times New Roman"/>
          <w:sz w:val="24"/>
          <w:szCs w:val="24"/>
        </w:rPr>
        <w:t xml:space="preserve">za Plaće za redovan rad – bruto (AOP150) utrošio </w:t>
      </w:r>
      <w:r w:rsidR="00F8325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iznos od  21.624.344 kn.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3E8D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AOP160 Materijaln</w:t>
      </w:r>
      <w:r w:rsidR="00F8325B">
        <w:rPr>
          <w:rFonts w:ascii="Times New Roman" w:hAnsi="Times New Roman" w:cs="Times New Roman"/>
          <w:sz w:val="24"/>
          <w:szCs w:val="24"/>
        </w:rPr>
        <w:t xml:space="preserve">i rashodi – ostvareni </w:t>
      </w:r>
      <w:r w:rsidR="008F0639">
        <w:rPr>
          <w:rFonts w:ascii="Times New Roman" w:hAnsi="Times New Roman" w:cs="Times New Roman"/>
          <w:sz w:val="24"/>
          <w:szCs w:val="24"/>
        </w:rPr>
        <w:t>su za 2,20</w:t>
      </w:r>
      <w:r>
        <w:rPr>
          <w:rFonts w:ascii="Times New Roman" w:hAnsi="Times New Roman" w:cs="Times New Roman"/>
          <w:sz w:val="24"/>
          <w:szCs w:val="24"/>
        </w:rPr>
        <w:t>% manje nego u istom izvještajnom razdob</w:t>
      </w:r>
      <w:r w:rsidR="006C3E8D">
        <w:rPr>
          <w:rFonts w:ascii="Times New Roman" w:hAnsi="Times New Roman" w:cs="Times New Roman"/>
          <w:sz w:val="24"/>
          <w:szCs w:val="24"/>
        </w:rPr>
        <w:t>lju 2014. godine i iznose 84.142.823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6C3E8D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navedene grupe najveće povećanje u odnosu na proteklo izvještajno razdoblje zabilježeno je kod: 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77A" w:rsidRP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77A">
        <w:rPr>
          <w:rFonts w:ascii="Times New Roman" w:hAnsi="Times New Roman" w:cs="Times New Roman"/>
          <w:sz w:val="24"/>
          <w:szCs w:val="24"/>
        </w:rPr>
        <w:t>AOP164 Stručno usavršavanje zaposl</w:t>
      </w:r>
      <w:r w:rsidR="006C3E8D">
        <w:rPr>
          <w:rFonts w:ascii="Times New Roman" w:hAnsi="Times New Roman" w:cs="Times New Roman"/>
          <w:sz w:val="24"/>
          <w:szCs w:val="24"/>
        </w:rPr>
        <w:t>e</w:t>
      </w:r>
      <w:r w:rsidRPr="0083777A">
        <w:rPr>
          <w:rFonts w:ascii="Times New Roman" w:hAnsi="Times New Roman" w:cs="Times New Roman"/>
          <w:sz w:val="24"/>
          <w:szCs w:val="24"/>
        </w:rPr>
        <w:t>nika</w:t>
      </w:r>
      <w:r w:rsidR="006C3E8D">
        <w:rPr>
          <w:rFonts w:ascii="Times New Roman" w:hAnsi="Times New Roman" w:cs="Times New Roman"/>
          <w:sz w:val="24"/>
          <w:szCs w:val="24"/>
        </w:rPr>
        <w:t xml:space="preserve"> -</w:t>
      </w:r>
      <w:r w:rsidRPr="0083777A">
        <w:rPr>
          <w:rFonts w:ascii="Times New Roman" w:hAnsi="Times New Roman" w:cs="Times New Roman"/>
          <w:sz w:val="24"/>
          <w:szCs w:val="24"/>
        </w:rPr>
        <w:t xml:space="preserve"> koji su ostvareni u iznosu od 169.150 kn, a odnose se na stručne seminare te polaganje državnog stručnog ispita osoba bez zasnivanja radnog odnosa prema Programu Zavoda za zapošljavanje „Stručno osposobljavanje za rad bez zasnivanja radnog odnosa“</w:t>
      </w:r>
      <w:r w:rsidR="006C3E8D">
        <w:rPr>
          <w:rFonts w:ascii="Times New Roman" w:hAnsi="Times New Roman" w:cs="Times New Roman"/>
          <w:sz w:val="24"/>
          <w:szCs w:val="24"/>
        </w:rPr>
        <w:t>,  stjecan</w:t>
      </w:r>
      <w:r w:rsidR="00F8325B">
        <w:rPr>
          <w:rFonts w:ascii="Times New Roman" w:hAnsi="Times New Roman" w:cs="Times New Roman"/>
          <w:sz w:val="24"/>
          <w:szCs w:val="24"/>
        </w:rPr>
        <w:t>je ECDL certifikata, te troškove</w:t>
      </w:r>
      <w:r w:rsidR="006C3E8D">
        <w:rPr>
          <w:rFonts w:ascii="Times New Roman" w:hAnsi="Times New Roman" w:cs="Times New Roman"/>
          <w:sz w:val="24"/>
          <w:szCs w:val="24"/>
        </w:rPr>
        <w:t xml:space="preserve"> edukacije u sklopu EU projekta –</w:t>
      </w:r>
      <w:r w:rsidR="00F8325B">
        <w:rPr>
          <w:rFonts w:ascii="Times New Roman" w:hAnsi="Times New Roman" w:cs="Times New Roman"/>
          <w:sz w:val="24"/>
          <w:szCs w:val="24"/>
        </w:rPr>
        <w:t xml:space="preserve"> </w:t>
      </w:r>
      <w:r w:rsidR="006C3E8D">
        <w:rPr>
          <w:rFonts w:ascii="Times New Roman" w:hAnsi="Times New Roman" w:cs="Times New Roman"/>
          <w:sz w:val="24"/>
          <w:szCs w:val="24"/>
        </w:rPr>
        <w:t>Prostorno uređenje teritorija unutrašnjosti priobalja Istre (PUT-UP Istre) i EU projekta SAMPLE</w:t>
      </w:r>
      <w:r w:rsidRPr="0083777A">
        <w:rPr>
          <w:rFonts w:ascii="Times New Roman" w:hAnsi="Times New Roman" w:cs="Times New Roman"/>
          <w:sz w:val="24"/>
          <w:szCs w:val="24"/>
        </w:rPr>
        <w:t>.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AOP171 Sitni inventar i auto</w:t>
      </w:r>
      <w:r w:rsidR="008F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gume – </w:t>
      </w:r>
      <w:r w:rsidR="004665CE">
        <w:rPr>
          <w:rFonts w:ascii="Times New Roman" w:hAnsi="Times New Roman" w:cs="Times New Roman"/>
          <w:sz w:val="24"/>
          <w:szCs w:val="24"/>
        </w:rPr>
        <w:t>ostvareni</w:t>
      </w:r>
      <w:r>
        <w:rPr>
          <w:rFonts w:ascii="Times New Roman" w:hAnsi="Times New Roman" w:cs="Times New Roman"/>
          <w:sz w:val="24"/>
          <w:szCs w:val="24"/>
        </w:rPr>
        <w:t xml:space="preserve"> su u iznosu od 137.510 kn što je za 178,30% više nego u 2014. godini</w:t>
      </w:r>
      <w:r w:rsidR="006C3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najznačajniji rashod unutar skupine čini kupnja podzemnih i nadzemnih zelenih otoka za selektivno prikupljanje otpada.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AOP173 – Službena, radna i zaštitna odjeća i obuća -  </w:t>
      </w:r>
      <w:r w:rsidR="004665CE">
        <w:rPr>
          <w:rFonts w:ascii="Times New Roman" w:hAnsi="Times New Roman" w:cs="Times New Roman"/>
          <w:sz w:val="24"/>
          <w:szCs w:val="24"/>
        </w:rPr>
        <w:t>ostvareni</w:t>
      </w:r>
      <w:r>
        <w:rPr>
          <w:rFonts w:ascii="Times New Roman" w:hAnsi="Times New Roman" w:cs="Times New Roman"/>
          <w:sz w:val="24"/>
          <w:szCs w:val="24"/>
        </w:rPr>
        <w:t xml:space="preserve"> su u iznosu od 44.064 kn što je za 8.445 kn više nego proteklo izvještajno razdoblje odnosno više za 23,70%, a odnosi se na kupnju obuće i odjeće za komunalne i prometne redare.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2C0">
        <w:rPr>
          <w:rFonts w:ascii="Times New Roman" w:hAnsi="Times New Roman" w:cs="Times New Roman"/>
          <w:sz w:val="24"/>
          <w:szCs w:val="24"/>
        </w:rPr>
        <w:t>AOP176 Usluge tekućeg i investicijskog održavanja – veći su za 22,00% u odnosu na 201</w:t>
      </w:r>
      <w:r w:rsidR="000A5E08" w:rsidRPr="00AE22C0">
        <w:rPr>
          <w:rFonts w:ascii="Times New Roman" w:hAnsi="Times New Roman" w:cs="Times New Roman"/>
          <w:sz w:val="24"/>
          <w:szCs w:val="24"/>
        </w:rPr>
        <w:t>4. godinu i iznose 9.931.052 kn</w:t>
      </w:r>
      <w:r w:rsidRPr="00AE22C0">
        <w:rPr>
          <w:rFonts w:ascii="Times New Roman" w:hAnsi="Times New Roman" w:cs="Times New Roman"/>
          <w:sz w:val="24"/>
          <w:szCs w:val="24"/>
        </w:rPr>
        <w:t xml:space="preserve"> </w:t>
      </w:r>
      <w:r w:rsidR="000A5E08" w:rsidRPr="00AE22C0">
        <w:rPr>
          <w:rFonts w:ascii="Times New Roman" w:hAnsi="Times New Roman" w:cs="Times New Roman"/>
          <w:sz w:val="24"/>
          <w:szCs w:val="24"/>
        </w:rPr>
        <w:t xml:space="preserve">– odnosi se na </w:t>
      </w:r>
      <w:r w:rsidRPr="00AE22C0">
        <w:rPr>
          <w:rFonts w:ascii="Times New Roman" w:hAnsi="Times New Roman" w:cs="Times New Roman"/>
          <w:sz w:val="24"/>
          <w:szCs w:val="24"/>
        </w:rPr>
        <w:t>obnov</w:t>
      </w:r>
      <w:r w:rsidR="000A5E08" w:rsidRPr="00AE22C0">
        <w:rPr>
          <w:rFonts w:ascii="Times New Roman" w:hAnsi="Times New Roman" w:cs="Times New Roman"/>
          <w:sz w:val="24"/>
          <w:szCs w:val="24"/>
        </w:rPr>
        <w:t>u</w:t>
      </w:r>
      <w:r w:rsidRPr="00AE22C0">
        <w:rPr>
          <w:rFonts w:ascii="Times New Roman" w:hAnsi="Times New Roman" w:cs="Times New Roman"/>
          <w:sz w:val="24"/>
          <w:szCs w:val="24"/>
        </w:rPr>
        <w:t xml:space="preserve"> pročelja zgrade – Sergijevaca 2 (</w:t>
      </w:r>
      <w:r w:rsidR="000A5E08" w:rsidRPr="00AE22C0">
        <w:rPr>
          <w:rFonts w:ascii="Times New Roman" w:hAnsi="Times New Roman" w:cs="Times New Roman"/>
          <w:sz w:val="24"/>
          <w:szCs w:val="24"/>
        </w:rPr>
        <w:t xml:space="preserve">projekt 360D </w:t>
      </w:r>
      <w:r w:rsidR="006C3E8D" w:rsidRPr="00AE22C0">
        <w:rPr>
          <w:rFonts w:ascii="Times New Roman" w:hAnsi="Times New Roman" w:cs="Times New Roman"/>
          <w:sz w:val="24"/>
          <w:szCs w:val="24"/>
        </w:rPr>
        <w:t>HISTORY MAPPING</w:t>
      </w:r>
      <w:r w:rsidRPr="00AE22C0">
        <w:rPr>
          <w:rFonts w:ascii="Times New Roman" w:hAnsi="Times New Roman" w:cs="Times New Roman"/>
          <w:sz w:val="24"/>
          <w:szCs w:val="24"/>
        </w:rPr>
        <w:t>), provedba projekta energetske učinkovitosti</w:t>
      </w:r>
      <w:r w:rsidR="002A50EB" w:rsidRPr="00AE22C0">
        <w:rPr>
          <w:rFonts w:ascii="Times New Roman" w:hAnsi="Times New Roman" w:cs="Times New Roman"/>
          <w:sz w:val="24"/>
          <w:szCs w:val="24"/>
        </w:rPr>
        <w:t xml:space="preserve">, </w:t>
      </w:r>
      <w:r w:rsidR="00B0135C" w:rsidRPr="00AE22C0">
        <w:rPr>
          <w:rFonts w:ascii="Times New Roman" w:hAnsi="Times New Roman" w:cs="Times New Roman"/>
          <w:sz w:val="24"/>
          <w:szCs w:val="24"/>
        </w:rPr>
        <w:t>tekuće i i</w:t>
      </w:r>
      <w:r w:rsidR="00AE22C0">
        <w:rPr>
          <w:rFonts w:ascii="Times New Roman" w:hAnsi="Times New Roman" w:cs="Times New Roman"/>
          <w:sz w:val="24"/>
          <w:szCs w:val="24"/>
        </w:rPr>
        <w:t>n</w:t>
      </w:r>
      <w:r w:rsidR="00B0135C" w:rsidRPr="00AE22C0">
        <w:rPr>
          <w:rFonts w:ascii="Times New Roman" w:hAnsi="Times New Roman" w:cs="Times New Roman"/>
          <w:sz w:val="24"/>
          <w:szCs w:val="24"/>
        </w:rPr>
        <w:t>vesticijsko održavanje skloništa,</w:t>
      </w:r>
      <w:r w:rsidR="00AE22C0">
        <w:rPr>
          <w:rFonts w:ascii="Times New Roman" w:hAnsi="Times New Roman" w:cs="Times New Roman"/>
          <w:sz w:val="24"/>
          <w:szCs w:val="24"/>
        </w:rPr>
        <w:t xml:space="preserve"> </w:t>
      </w:r>
      <w:r w:rsidR="00AE22C0" w:rsidRPr="00AE22C0">
        <w:rPr>
          <w:rFonts w:ascii="Times New Roman" w:hAnsi="Times New Roman" w:cs="Times New Roman"/>
          <w:sz w:val="24"/>
          <w:szCs w:val="24"/>
        </w:rPr>
        <w:t>uredskih zgrada te prostora mjesnih odbora</w:t>
      </w:r>
      <w:r w:rsidR="00AE22C0">
        <w:rPr>
          <w:rFonts w:ascii="Times New Roman" w:hAnsi="Times New Roman" w:cs="Times New Roman"/>
          <w:sz w:val="24"/>
          <w:szCs w:val="24"/>
        </w:rPr>
        <w:t>, tekuće i investicijsko održavanje stanova i poslovnih prostora u vlasništvu grada</w:t>
      </w:r>
      <w:r w:rsidR="000A5E08" w:rsidRPr="00AE22C0">
        <w:rPr>
          <w:rFonts w:ascii="Times New Roman" w:hAnsi="Times New Roman" w:cs="Times New Roman"/>
          <w:sz w:val="24"/>
          <w:szCs w:val="24"/>
        </w:rPr>
        <w:t>.</w:t>
      </w:r>
      <w:r w:rsidR="000A5E08">
        <w:rPr>
          <w:rFonts w:ascii="Times New Roman" w:hAnsi="Times New Roman" w:cs="Times New Roman"/>
          <w:sz w:val="24"/>
          <w:szCs w:val="24"/>
        </w:rPr>
        <w:t xml:space="preserve"> </w:t>
      </w:r>
      <w:r w:rsidRPr="00837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AOP183 Ostale usluge – ostvarene su u iznosu od 569.169 kn, </w:t>
      </w:r>
      <w:r w:rsidR="006C3E8D">
        <w:rPr>
          <w:rFonts w:ascii="Times New Roman" w:hAnsi="Times New Roman" w:cs="Times New Roman"/>
          <w:sz w:val="24"/>
          <w:szCs w:val="24"/>
        </w:rPr>
        <w:t>što je za 473.076 kn više nego u 2014. godini,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E8D">
        <w:rPr>
          <w:rFonts w:ascii="Times New Roman" w:hAnsi="Times New Roman" w:cs="Times New Roman"/>
          <w:sz w:val="24"/>
          <w:szCs w:val="24"/>
        </w:rPr>
        <w:t>ta se razlika odnosi</w:t>
      </w:r>
      <w:r>
        <w:rPr>
          <w:rFonts w:ascii="Times New Roman" w:hAnsi="Times New Roman" w:cs="Times New Roman"/>
          <w:sz w:val="24"/>
          <w:szCs w:val="24"/>
        </w:rPr>
        <w:t xml:space="preserve"> na različiti prikaz navedenih rashoda zbog izmjene računskog plana - dio navedenih rashoda (usluga čišćenja i čuvanja imovine) ranije se knjižio u sklopu grupe 3234.</w:t>
      </w:r>
    </w:p>
    <w:p w:rsidR="0083777A" w:rsidRDefault="0083777A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77A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AOP185 Naknade troškova osobama izvan radnog odnosa – </w:t>
      </w:r>
      <w:r w:rsidR="004665CE">
        <w:rPr>
          <w:rFonts w:ascii="Times New Roman" w:hAnsi="Times New Roman" w:cs="Times New Roman"/>
          <w:sz w:val="24"/>
          <w:szCs w:val="24"/>
        </w:rPr>
        <w:t>ostvareni</w:t>
      </w:r>
      <w:r>
        <w:rPr>
          <w:rFonts w:ascii="Times New Roman" w:hAnsi="Times New Roman" w:cs="Times New Roman"/>
          <w:sz w:val="24"/>
          <w:szCs w:val="24"/>
        </w:rPr>
        <w:t xml:space="preserve"> su u iznosu od 228.607 kn odnosno za 54,20% više nego u istom izvještajnom razdoblju 2014. godine, a odnose se na rashode namijenjene osobama koje su na stručnom osposobljavanju bez zasnivanja radnog odnosa.</w:t>
      </w:r>
    </w:p>
    <w:p w:rsidR="006C3E8D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3E8D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AOP189 Reprezentacija iznosi 235.517 kn, što je za 21,40% više nego u 2014. godini. Povećanje se odnosi na </w:t>
      </w:r>
      <w:r w:rsidR="00B0135C">
        <w:rPr>
          <w:rFonts w:ascii="Times New Roman" w:hAnsi="Times New Roman" w:cs="Times New Roman"/>
          <w:sz w:val="24"/>
          <w:szCs w:val="24"/>
        </w:rPr>
        <w:t xml:space="preserve">rashode za </w:t>
      </w:r>
      <w:r>
        <w:rPr>
          <w:rFonts w:ascii="Times New Roman" w:hAnsi="Times New Roman" w:cs="Times New Roman"/>
          <w:sz w:val="24"/>
          <w:szCs w:val="24"/>
        </w:rPr>
        <w:t>reprezentacij</w:t>
      </w:r>
      <w:r w:rsidR="00B013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 okviru EU projekata SAMPLE i ADRIFORT.</w:t>
      </w:r>
    </w:p>
    <w:p w:rsidR="006C3E8D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3E8D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AOP191 Pristojbe i naknade </w:t>
      </w:r>
      <w:r w:rsidR="004665CE">
        <w:rPr>
          <w:rFonts w:ascii="Times New Roman" w:hAnsi="Times New Roman" w:cs="Times New Roman"/>
          <w:sz w:val="24"/>
          <w:szCs w:val="24"/>
        </w:rPr>
        <w:t>ostvarene</w:t>
      </w:r>
      <w:r>
        <w:rPr>
          <w:rFonts w:ascii="Times New Roman" w:hAnsi="Times New Roman" w:cs="Times New Roman"/>
          <w:sz w:val="24"/>
          <w:szCs w:val="24"/>
        </w:rPr>
        <w:t xml:space="preserve"> su u iznosu od 788.843 kn, odnosno za 46,80% više nego u prethodnoj godini radi povećanih rashoda za sudske, javnobilježničke i upravne pristojbe i druge troškove za potrebe postupaka.</w:t>
      </w:r>
    </w:p>
    <w:p w:rsidR="006C3E8D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3E8D" w:rsidRDefault="006C3E8D" w:rsidP="006C3E8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grupe </w:t>
      </w:r>
      <w:r w:rsidR="002A50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23 najveće smanjenje u odnosu na proteklo izvještajno razdoblje zabilježeno je kod: </w:t>
      </w:r>
    </w:p>
    <w:p w:rsidR="008F0639" w:rsidRPr="002A50EB" w:rsidRDefault="006C3E8D" w:rsidP="002A50E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50EB">
        <w:rPr>
          <w:rFonts w:ascii="Times New Roman" w:hAnsi="Times New Roman" w:cs="Times New Roman"/>
          <w:sz w:val="24"/>
          <w:szCs w:val="24"/>
        </w:rPr>
        <w:t>AOP175 Usluge telefona, pošte i prijevoza i to za 38,20%, a iznose 1.063.78</w:t>
      </w:r>
      <w:r w:rsidR="008F0639" w:rsidRPr="002A50EB">
        <w:rPr>
          <w:rFonts w:ascii="Times New Roman" w:hAnsi="Times New Roman" w:cs="Times New Roman"/>
          <w:sz w:val="24"/>
          <w:szCs w:val="24"/>
        </w:rPr>
        <w:t>1 kn,</w:t>
      </w:r>
      <w:r w:rsidRPr="002A5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39" w:rsidRPr="00315F6A" w:rsidRDefault="006C3E8D" w:rsidP="002A50E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5F6A">
        <w:rPr>
          <w:rFonts w:ascii="Times New Roman" w:hAnsi="Times New Roman" w:cs="Times New Roman"/>
          <w:sz w:val="24"/>
          <w:szCs w:val="24"/>
        </w:rPr>
        <w:lastRenderedPageBreak/>
        <w:t xml:space="preserve">AOP182 Računalne usluge koje iznose 40.750 kn, odnosno za 26,60% manje nego 2014. godine </w:t>
      </w:r>
      <w:r w:rsidR="00315F6A" w:rsidRPr="00315F6A">
        <w:rPr>
          <w:rFonts w:ascii="Times New Roman" w:hAnsi="Times New Roman" w:cs="Times New Roman"/>
          <w:sz w:val="24"/>
          <w:szCs w:val="24"/>
        </w:rPr>
        <w:t>u istom izvještajnom razdoblju,</w:t>
      </w:r>
    </w:p>
    <w:p w:rsidR="006C3E8D" w:rsidRPr="002A50EB" w:rsidRDefault="006C3E8D" w:rsidP="002A50E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50EB">
        <w:rPr>
          <w:rFonts w:ascii="Times New Roman" w:hAnsi="Times New Roman" w:cs="Times New Roman"/>
          <w:sz w:val="24"/>
          <w:szCs w:val="24"/>
        </w:rPr>
        <w:t>AOP190 Članarine</w:t>
      </w:r>
      <w:r w:rsidR="00B0135C">
        <w:rPr>
          <w:rFonts w:ascii="Times New Roman" w:hAnsi="Times New Roman" w:cs="Times New Roman"/>
          <w:sz w:val="24"/>
          <w:szCs w:val="24"/>
        </w:rPr>
        <w:t xml:space="preserve"> i norme koje iznose 74.552 kn, odnosno</w:t>
      </w:r>
      <w:r w:rsidRPr="002A50EB">
        <w:rPr>
          <w:rFonts w:ascii="Times New Roman" w:hAnsi="Times New Roman" w:cs="Times New Roman"/>
          <w:sz w:val="24"/>
          <w:szCs w:val="24"/>
        </w:rPr>
        <w:t xml:space="preserve"> za 11,80%  manje nego 2014. godine u istom izvještajnom razdoblju. </w:t>
      </w:r>
    </w:p>
    <w:p w:rsidR="006C3E8D" w:rsidRDefault="006C3E8D" w:rsidP="006C3E8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3E8D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AOP200 Kamate za primljene kredite i zajmove </w:t>
      </w:r>
      <w:r w:rsidR="004665CE">
        <w:rPr>
          <w:rFonts w:ascii="Times New Roman" w:hAnsi="Times New Roman" w:cs="Times New Roman"/>
          <w:sz w:val="24"/>
          <w:szCs w:val="24"/>
        </w:rPr>
        <w:t>ostvarene</w:t>
      </w:r>
      <w:r>
        <w:rPr>
          <w:rFonts w:ascii="Times New Roman" w:hAnsi="Times New Roman" w:cs="Times New Roman"/>
          <w:sz w:val="24"/>
          <w:szCs w:val="24"/>
        </w:rPr>
        <w:t xml:space="preserve"> su za 11,90% manje nego u istom izvj</w:t>
      </w:r>
      <w:r w:rsidR="006F427D">
        <w:rPr>
          <w:rFonts w:ascii="Times New Roman" w:hAnsi="Times New Roman" w:cs="Times New Roman"/>
          <w:sz w:val="24"/>
          <w:szCs w:val="24"/>
        </w:rPr>
        <w:t>eštajnom razdoblju 2014. godine.  R</w:t>
      </w:r>
      <w:r>
        <w:rPr>
          <w:rFonts w:ascii="Times New Roman" w:hAnsi="Times New Roman" w:cs="Times New Roman"/>
          <w:sz w:val="24"/>
          <w:szCs w:val="24"/>
        </w:rPr>
        <w:t xml:space="preserve">azlog smanjenja je </w:t>
      </w:r>
      <w:r w:rsidR="002A50EB">
        <w:rPr>
          <w:rFonts w:ascii="Times New Roman" w:hAnsi="Times New Roman" w:cs="Times New Roman"/>
          <w:sz w:val="24"/>
          <w:szCs w:val="24"/>
        </w:rPr>
        <w:t>što je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CA">
        <w:rPr>
          <w:rFonts w:ascii="Times New Roman" w:hAnsi="Times New Roman" w:cs="Times New Roman"/>
          <w:sz w:val="24"/>
          <w:szCs w:val="24"/>
        </w:rPr>
        <w:t>Hypo Alpe-Adria-Bank AG Klagenfurt</w:t>
      </w:r>
      <w:r>
        <w:rPr>
          <w:rFonts w:ascii="Times New Roman" w:hAnsi="Times New Roman" w:cs="Times New Roman"/>
          <w:sz w:val="24"/>
          <w:szCs w:val="24"/>
        </w:rPr>
        <w:t xml:space="preserve"> otplaćen u cjelosti u </w:t>
      </w:r>
      <w:r w:rsidRPr="00A769CA">
        <w:rPr>
          <w:rFonts w:ascii="Times New Roman" w:hAnsi="Times New Roman" w:cs="Times New Roman"/>
          <w:sz w:val="24"/>
          <w:szCs w:val="24"/>
        </w:rPr>
        <w:t>2014. godine</w:t>
      </w:r>
      <w:r w:rsidR="002A50EB">
        <w:rPr>
          <w:rFonts w:ascii="Times New Roman" w:hAnsi="Times New Roman" w:cs="Times New Roman"/>
          <w:sz w:val="24"/>
          <w:szCs w:val="24"/>
        </w:rPr>
        <w:t>.</w:t>
      </w:r>
    </w:p>
    <w:p w:rsidR="006C3E8D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3E8D" w:rsidRDefault="006C3E8D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</w:t>
      </w:r>
      <w:r w:rsidR="004665CE">
        <w:rPr>
          <w:rFonts w:ascii="Times New Roman" w:hAnsi="Times New Roman" w:cs="Times New Roman"/>
          <w:sz w:val="24"/>
          <w:szCs w:val="24"/>
        </w:rPr>
        <w:t>210 Negativne tečajne razlike i razlike zbog primjene valutne klauzule ostvarene su za 439,60% više nego 2014. godine u istom izvještajnom razd</w:t>
      </w:r>
      <w:r w:rsidR="00BC4412">
        <w:rPr>
          <w:rFonts w:ascii="Times New Roman" w:hAnsi="Times New Roman" w:cs="Times New Roman"/>
          <w:sz w:val="24"/>
          <w:szCs w:val="24"/>
        </w:rPr>
        <w:t>ob</w:t>
      </w:r>
      <w:r w:rsidR="004665CE">
        <w:rPr>
          <w:rFonts w:ascii="Times New Roman" w:hAnsi="Times New Roman" w:cs="Times New Roman"/>
          <w:sz w:val="24"/>
          <w:szCs w:val="24"/>
        </w:rPr>
        <w:t>lju i iznose 1.349 kn, a odnose se na obračun tečajnih razlika pri obračunu putnih naloga.</w:t>
      </w:r>
    </w:p>
    <w:p w:rsidR="00BC4412" w:rsidRDefault="00BC4412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65CE" w:rsidRDefault="00BC4412" w:rsidP="00A55E3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F59">
        <w:rPr>
          <w:rFonts w:ascii="Times New Roman" w:hAnsi="Times New Roman" w:cs="Times New Roman"/>
          <w:sz w:val="24"/>
          <w:szCs w:val="24"/>
        </w:rPr>
        <w:t>AOP216 Subvencije trgovačkim društvima u javnom sektoru i AOP21</w:t>
      </w:r>
      <w:r w:rsidR="002A50EB" w:rsidRPr="00227F59">
        <w:rPr>
          <w:rFonts w:ascii="Times New Roman" w:hAnsi="Times New Roman" w:cs="Times New Roman"/>
          <w:sz w:val="24"/>
          <w:szCs w:val="24"/>
        </w:rPr>
        <w:t>7</w:t>
      </w:r>
      <w:r w:rsidRPr="00227F59">
        <w:rPr>
          <w:rFonts w:ascii="Times New Roman" w:hAnsi="Times New Roman" w:cs="Times New Roman"/>
          <w:sz w:val="24"/>
          <w:szCs w:val="24"/>
        </w:rPr>
        <w:t xml:space="preserve"> Subvencije trgovačkim društvima</w:t>
      </w:r>
      <w:r w:rsidR="002A50EB" w:rsidRPr="00227F59">
        <w:rPr>
          <w:rFonts w:ascii="Times New Roman" w:hAnsi="Times New Roman" w:cs="Times New Roman"/>
          <w:sz w:val="24"/>
          <w:szCs w:val="24"/>
        </w:rPr>
        <w:t>, poljoprivrednicima i obrtnicima</w:t>
      </w:r>
      <w:r w:rsidRPr="00227F59">
        <w:rPr>
          <w:rFonts w:ascii="Times New Roman" w:hAnsi="Times New Roman" w:cs="Times New Roman"/>
          <w:sz w:val="24"/>
          <w:szCs w:val="24"/>
        </w:rPr>
        <w:t xml:space="preserve"> izvan javnog sektora ostvarene su u iznosu od 18.002.116 kn što je za 5,20% više nego 2014. godine u istom izvještajnom razdoblju</w:t>
      </w:r>
      <w:r w:rsidR="002A50EB" w:rsidRPr="00227F59">
        <w:rPr>
          <w:rFonts w:ascii="Times New Roman" w:hAnsi="Times New Roman" w:cs="Times New Roman"/>
          <w:sz w:val="24"/>
          <w:szCs w:val="24"/>
        </w:rPr>
        <w:t xml:space="preserve"> i to za subvencije za privatne vrtiće, subvencije za potpor</w:t>
      </w:r>
      <w:r w:rsidR="00B0135C" w:rsidRPr="00227F59">
        <w:rPr>
          <w:rFonts w:ascii="Times New Roman" w:hAnsi="Times New Roman" w:cs="Times New Roman"/>
          <w:sz w:val="24"/>
          <w:szCs w:val="24"/>
        </w:rPr>
        <w:t>e</w:t>
      </w:r>
      <w:r w:rsidR="002A50EB" w:rsidRPr="00227F59">
        <w:rPr>
          <w:rFonts w:ascii="Times New Roman" w:hAnsi="Times New Roman" w:cs="Times New Roman"/>
          <w:sz w:val="24"/>
          <w:szCs w:val="24"/>
        </w:rPr>
        <w:t xml:space="preserve"> gospodarstvu</w:t>
      </w:r>
      <w:r w:rsidR="00D451EA" w:rsidRPr="00227F59">
        <w:rPr>
          <w:rFonts w:ascii="Times New Roman" w:hAnsi="Times New Roman" w:cs="Times New Roman"/>
          <w:sz w:val="24"/>
          <w:szCs w:val="24"/>
        </w:rPr>
        <w:t>, subvencije kamata, subvencije javnom gradskom prijevozu, potpore malom gospodarstvu, subvencije za zaštitnu radionicu Tekop nova te za aktivnosti djece i mladih</w:t>
      </w:r>
      <w:r w:rsidRPr="00227F59">
        <w:rPr>
          <w:rFonts w:ascii="Times New Roman" w:hAnsi="Times New Roman" w:cs="Times New Roman"/>
          <w:sz w:val="24"/>
          <w:szCs w:val="24"/>
        </w:rPr>
        <w:t>.</w:t>
      </w:r>
    </w:p>
    <w:p w:rsidR="00D131BD" w:rsidRDefault="00D131BD" w:rsidP="00D131B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4412" w:rsidRDefault="00BC4412" w:rsidP="00BC441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412">
        <w:rPr>
          <w:rFonts w:ascii="Times New Roman" w:hAnsi="Times New Roman" w:cs="Times New Roman"/>
          <w:sz w:val="24"/>
          <w:szCs w:val="24"/>
        </w:rPr>
        <w:t>AOP232 Tekuće pomoći proračunskim korisnicima drugih proračuna-ostvarene su u iznosu 2.557.278 kn što je za 50,50% više nego 2014. godine u istom izvještajnom</w:t>
      </w:r>
      <w:r>
        <w:rPr>
          <w:rFonts w:ascii="Times New Roman" w:hAnsi="Times New Roman" w:cs="Times New Roman"/>
          <w:sz w:val="24"/>
          <w:szCs w:val="24"/>
        </w:rPr>
        <w:t xml:space="preserve"> razd</w:t>
      </w:r>
      <w:r w:rsidR="006F427D">
        <w:rPr>
          <w:rFonts w:ascii="Times New Roman" w:hAnsi="Times New Roman" w:cs="Times New Roman"/>
          <w:sz w:val="24"/>
          <w:szCs w:val="24"/>
        </w:rPr>
        <w:t>oblju.  Povećanje se odnosi na</w:t>
      </w:r>
      <w:r>
        <w:rPr>
          <w:rFonts w:ascii="Times New Roman" w:hAnsi="Times New Roman" w:cs="Times New Roman"/>
          <w:sz w:val="24"/>
          <w:szCs w:val="24"/>
        </w:rPr>
        <w:t xml:space="preserve"> pomoć OB Pula </w:t>
      </w:r>
      <w:r w:rsidR="002A50EB">
        <w:rPr>
          <w:rFonts w:ascii="Times New Roman" w:hAnsi="Times New Roman" w:cs="Times New Roman"/>
          <w:sz w:val="24"/>
          <w:szCs w:val="24"/>
        </w:rPr>
        <w:t xml:space="preserve">za nabavu opreme, </w:t>
      </w:r>
      <w:r>
        <w:rPr>
          <w:rFonts w:ascii="Times New Roman" w:hAnsi="Times New Roman" w:cs="Times New Roman"/>
          <w:sz w:val="24"/>
          <w:szCs w:val="24"/>
        </w:rPr>
        <w:t>te o</w:t>
      </w:r>
      <w:r w:rsidR="006F427D">
        <w:rPr>
          <w:rFonts w:ascii="Times New Roman" w:hAnsi="Times New Roman" w:cs="Times New Roman"/>
          <w:sz w:val="24"/>
          <w:szCs w:val="24"/>
        </w:rPr>
        <w:t>bveze po ugovoru sa Arheološkim</w:t>
      </w:r>
      <w:r>
        <w:rPr>
          <w:rFonts w:ascii="Times New Roman" w:hAnsi="Times New Roman" w:cs="Times New Roman"/>
          <w:sz w:val="24"/>
          <w:szCs w:val="24"/>
        </w:rPr>
        <w:t xml:space="preserve"> muzejem Istre.</w:t>
      </w:r>
    </w:p>
    <w:p w:rsidR="00BC4412" w:rsidRDefault="00BC4412" w:rsidP="002825A7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4412" w:rsidRDefault="00BC4412" w:rsidP="00BC441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412">
        <w:rPr>
          <w:rFonts w:ascii="Times New Roman" w:hAnsi="Times New Roman" w:cs="Times New Roman"/>
          <w:sz w:val="24"/>
          <w:szCs w:val="24"/>
        </w:rPr>
        <w:t>AOP2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441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Kapitalne donacije neprofitnim organizacijama</w:t>
      </w:r>
      <w:r w:rsidRPr="00BC4412">
        <w:rPr>
          <w:rFonts w:ascii="Times New Roman" w:hAnsi="Times New Roman" w:cs="Times New Roman"/>
          <w:sz w:val="24"/>
          <w:szCs w:val="24"/>
        </w:rPr>
        <w:t xml:space="preserve">-ostvarene su u iznosu </w:t>
      </w:r>
      <w:r>
        <w:rPr>
          <w:rFonts w:ascii="Times New Roman" w:hAnsi="Times New Roman" w:cs="Times New Roman"/>
          <w:sz w:val="24"/>
          <w:szCs w:val="24"/>
        </w:rPr>
        <w:t>1.088.145</w:t>
      </w:r>
      <w:r w:rsidRPr="00BC4412">
        <w:rPr>
          <w:rFonts w:ascii="Times New Roman" w:hAnsi="Times New Roman" w:cs="Times New Roman"/>
          <w:sz w:val="24"/>
          <w:szCs w:val="24"/>
        </w:rPr>
        <w:t xml:space="preserve"> kn što je za </w:t>
      </w:r>
      <w:r>
        <w:rPr>
          <w:rFonts w:ascii="Times New Roman" w:hAnsi="Times New Roman" w:cs="Times New Roman"/>
          <w:sz w:val="24"/>
          <w:szCs w:val="24"/>
        </w:rPr>
        <w:t>83,00</w:t>
      </w:r>
      <w:r w:rsidRPr="00BC441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manje</w:t>
      </w:r>
      <w:r w:rsidRPr="00BC4412">
        <w:rPr>
          <w:rFonts w:ascii="Times New Roman" w:hAnsi="Times New Roman" w:cs="Times New Roman"/>
          <w:sz w:val="24"/>
          <w:szCs w:val="24"/>
        </w:rPr>
        <w:t xml:space="preserve"> nego 2014. godine u istom izvještajnom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F427D">
        <w:rPr>
          <w:rFonts w:ascii="Times New Roman" w:hAnsi="Times New Roman" w:cs="Times New Roman"/>
          <w:sz w:val="24"/>
          <w:szCs w:val="24"/>
        </w:rPr>
        <w:t>azdoblju. Smanjenje je iskazano</w:t>
      </w:r>
      <w:r>
        <w:rPr>
          <w:rFonts w:ascii="Times New Roman" w:hAnsi="Times New Roman" w:cs="Times New Roman"/>
          <w:sz w:val="24"/>
          <w:szCs w:val="24"/>
        </w:rPr>
        <w:t xml:space="preserve"> radi prijenosa sredstava trgovačkom društvu Pula Sport koji je u 2014. godini bio javna ustanova</w:t>
      </w:r>
      <w:r w:rsidR="006F427D">
        <w:rPr>
          <w:rFonts w:ascii="Times New Roman" w:hAnsi="Times New Roman" w:cs="Times New Roman"/>
          <w:sz w:val="24"/>
          <w:szCs w:val="24"/>
        </w:rPr>
        <w:t>,</w:t>
      </w:r>
      <w:r w:rsidR="00C86E4F" w:rsidRPr="00C86E4F">
        <w:rPr>
          <w:rFonts w:ascii="Times New Roman" w:hAnsi="Times New Roman" w:cs="Times New Roman"/>
          <w:sz w:val="24"/>
          <w:szCs w:val="24"/>
        </w:rPr>
        <w:t xml:space="preserve"> </w:t>
      </w:r>
      <w:r w:rsidR="006F427D">
        <w:rPr>
          <w:rFonts w:ascii="Times New Roman" w:hAnsi="Times New Roman" w:cs="Times New Roman"/>
          <w:sz w:val="24"/>
          <w:szCs w:val="24"/>
        </w:rPr>
        <w:t>a koji je sada iskazan</w:t>
      </w:r>
      <w:r w:rsidR="00C86E4F">
        <w:rPr>
          <w:rFonts w:ascii="Times New Roman" w:hAnsi="Times New Roman" w:cs="Times New Roman"/>
          <w:sz w:val="24"/>
          <w:szCs w:val="24"/>
        </w:rPr>
        <w:t xml:space="preserve"> u AOP265 Kapitalne pomoći kreditnim i ostalim financijskim institucijama te trgovačkim društvima u javnom sektoru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412" w:rsidRDefault="00BC4412" w:rsidP="002825A7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25A7" w:rsidRPr="00D131BD" w:rsidRDefault="002825A7" w:rsidP="002825A7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AOP281 / 7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27D">
        <w:rPr>
          <w:rFonts w:ascii="Times New Roman" w:hAnsi="Times New Roman" w:cs="Times New Roman"/>
          <w:b/>
          <w:sz w:val="24"/>
          <w:szCs w:val="24"/>
        </w:rPr>
        <w:t>iznose 10.579.207</w:t>
      </w:r>
    </w:p>
    <w:p w:rsidR="002825A7" w:rsidRDefault="002825A7" w:rsidP="00282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5A7" w:rsidRDefault="006F427D" w:rsidP="00282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AOP284 Zemljišta - </w:t>
      </w:r>
      <w:r w:rsidR="002825A7">
        <w:rPr>
          <w:rFonts w:ascii="Times New Roman" w:hAnsi="Times New Roman" w:cs="Times New Roman"/>
          <w:sz w:val="24"/>
          <w:szCs w:val="24"/>
        </w:rPr>
        <w:t>proda</w:t>
      </w:r>
      <w:r>
        <w:rPr>
          <w:rFonts w:ascii="Times New Roman" w:hAnsi="Times New Roman" w:cs="Times New Roman"/>
          <w:sz w:val="24"/>
          <w:szCs w:val="24"/>
        </w:rPr>
        <w:t xml:space="preserve">no je građevinskog zemljišta </w:t>
      </w:r>
      <w:r w:rsidR="002825A7">
        <w:rPr>
          <w:rFonts w:ascii="Times New Roman" w:hAnsi="Times New Roman" w:cs="Times New Roman"/>
          <w:sz w:val="24"/>
          <w:szCs w:val="24"/>
        </w:rPr>
        <w:t>53,50% manje ne</w:t>
      </w:r>
      <w:r>
        <w:rPr>
          <w:rFonts w:ascii="Times New Roman" w:hAnsi="Times New Roman" w:cs="Times New Roman"/>
          <w:sz w:val="24"/>
          <w:szCs w:val="24"/>
        </w:rPr>
        <w:t xml:space="preserve">go 2014. godine, a ostvareno je </w:t>
      </w:r>
      <w:r w:rsidR="002825A7">
        <w:rPr>
          <w:rFonts w:ascii="Times New Roman" w:hAnsi="Times New Roman" w:cs="Times New Roman"/>
          <w:sz w:val="24"/>
          <w:szCs w:val="24"/>
        </w:rPr>
        <w:t xml:space="preserve">5.070.540 kn prihoda. </w:t>
      </w:r>
    </w:p>
    <w:p w:rsidR="002A50EB" w:rsidRDefault="002A50EB" w:rsidP="00282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5A7" w:rsidRPr="00D131BD" w:rsidRDefault="00D1039E" w:rsidP="00282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AOP295 </w:t>
      </w:r>
      <w:r w:rsidR="002825A7">
        <w:rPr>
          <w:rFonts w:ascii="Times New Roman" w:hAnsi="Times New Roman" w:cs="Times New Roman"/>
          <w:sz w:val="24"/>
          <w:szCs w:val="24"/>
        </w:rPr>
        <w:t>Prihodi od prodaje građevinskih objekata iznose 5.508.667 kn</w:t>
      </w:r>
      <w:r>
        <w:rPr>
          <w:rFonts w:ascii="Times New Roman" w:hAnsi="Times New Roman" w:cs="Times New Roman"/>
          <w:sz w:val="24"/>
          <w:szCs w:val="24"/>
        </w:rPr>
        <w:t>, od čega</w:t>
      </w:r>
      <w:r w:rsidR="002825A7">
        <w:rPr>
          <w:rFonts w:ascii="Times New Roman" w:hAnsi="Times New Roman" w:cs="Times New Roman"/>
          <w:sz w:val="24"/>
          <w:szCs w:val="24"/>
        </w:rPr>
        <w:t xml:space="preserve"> prihod od p</w:t>
      </w:r>
      <w:r>
        <w:rPr>
          <w:rFonts w:ascii="Times New Roman" w:hAnsi="Times New Roman" w:cs="Times New Roman"/>
          <w:sz w:val="24"/>
          <w:szCs w:val="24"/>
        </w:rPr>
        <w:t>rodaje stambenih objekata</w:t>
      </w:r>
      <w:r w:rsidR="002825A7">
        <w:rPr>
          <w:rFonts w:ascii="Times New Roman" w:hAnsi="Times New Roman" w:cs="Times New Roman"/>
          <w:sz w:val="24"/>
          <w:szCs w:val="24"/>
        </w:rPr>
        <w:t xml:space="preserve"> iznos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25A7">
        <w:rPr>
          <w:rFonts w:ascii="Times New Roman" w:hAnsi="Times New Roman" w:cs="Times New Roman"/>
          <w:sz w:val="24"/>
          <w:szCs w:val="24"/>
        </w:rPr>
        <w:t xml:space="preserve"> 4.916.648 kn što je za 13,10% više nego 2014. godine, dok su poslovni objekti prodani u iznosu od 592.019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25A7">
        <w:rPr>
          <w:rFonts w:ascii="Times New Roman" w:hAnsi="Times New Roman" w:cs="Times New Roman"/>
          <w:sz w:val="24"/>
          <w:szCs w:val="24"/>
        </w:rPr>
        <w:t xml:space="preserve"> što je za 81,90% manje nego 2014. godine.</w:t>
      </w:r>
    </w:p>
    <w:p w:rsidR="00D131BD" w:rsidRDefault="00D131BD" w:rsidP="00D131B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31BD" w:rsidRPr="00D131BD" w:rsidRDefault="00D131BD" w:rsidP="00D131B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AOP334 / 4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 RASHODI </w:t>
      </w:r>
      <w:r>
        <w:rPr>
          <w:rFonts w:ascii="Times New Roman" w:hAnsi="Times New Roman" w:cs="Times New Roman"/>
          <w:b/>
          <w:sz w:val="24"/>
          <w:szCs w:val="24"/>
        </w:rPr>
        <w:t>ZA NABAVU NEFINANCIJSKE IMOVINE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39E">
        <w:rPr>
          <w:rFonts w:ascii="Times New Roman" w:hAnsi="Times New Roman" w:cs="Times New Roman"/>
          <w:b/>
          <w:sz w:val="24"/>
          <w:szCs w:val="24"/>
        </w:rPr>
        <w:t>iznosi 19.654.133</w:t>
      </w: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35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za nabavu nefinancijske imovine u 2014. godini u predanom financijskom izvještaju iznosili su 24.375.225 kn. Navedeni iznos u stupcu</w:t>
      </w:r>
      <w:r w:rsidRPr="00D131BD">
        <w:rPr>
          <w:rFonts w:ascii="Times New Roman" w:hAnsi="Times New Roman" w:cs="Times New Roman"/>
          <w:sz w:val="24"/>
          <w:szCs w:val="24"/>
        </w:rPr>
        <w:t xml:space="preserve"> „Ostvareno u izvještajnom razdoblju prethodne godine“</w:t>
      </w:r>
      <w:r>
        <w:rPr>
          <w:rFonts w:ascii="Times New Roman" w:hAnsi="Times New Roman" w:cs="Times New Roman"/>
          <w:sz w:val="24"/>
          <w:szCs w:val="24"/>
        </w:rPr>
        <w:t xml:space="preserve"> u financijskim izvještajima za 2015. godinu</w:t>
      </w:r>
      <w:r w:rsidRPr="00D131BD">
        <w:rPr>
          <w:rFonts w:ascii="Times New Roman" w:hAnsi="Times New Roman" w:cs="Times New Roman"/>
          <w:sz w:val="24"/>
          <w:szCs w:val="24"/>
        </w:rPr>
        <w:t xml:space="preserve"> prila</w:t>
      </w:r>
      <w:r w:rsidR="00C86E4F">
        <w:rPr>
          <w:rFonts w:ascii="Times New Roman" w:hAnsi="Times New Roman" w:cs="Times New Roman"/>
          <w:sz w:val="24"/>
          <w:szCs w:val="24"/>
        </w:rPr>
        <w:t>gođen je</w:t>
      </w:r>
      <w:r>
        <w:rPr>
          <w:rFonts w:ascii="Times New Roman" w:hAnsi="Times New Roman" w:cs="Times New Roman"/>
          <w:sz w:val="24"/>
          <w:szCs w:val="24"/>
        </w:rPr>
        <w:t xml:space="preserve"> novom</w:t>
      </w:r>
      <w:r w:rsidRPr="00D13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načinu izvještavanja </w:t>
      </w:r>
      <w:r w:rsidRPr="00D131BD">
        <w:rPr>
          <w:rFonts w:ascii="Times New Roman" w:hAnsi="Times New Roman" w:cs="Times New Roman"/>
          <w:sz w:val="24"/>
          <w:szCs w:val="24"/>
        </w:rPr>
        <w:t>tako da se postigne usp</w:t>
      </w:r>
      <w:r>
        <w:rPr>
          <w:rFonts w:ascii="Times New Roman" w:hAnsi="Times New Roman" w:cs="Times New Roman"/>
          <w:sz w:val="24"/>
          <w:szCs w:val="24"/>
        </w:rPr>
        <w:t>oredivo</w:t>
      </w:r>
      <w:r w:rsidR="00D1039E">
        <w:rPr>
          <w:rFonts w:ascii="Times New Roman" w:hAnsi="Times New Roman" w:cs="Times New Roman"/>
          <w:sz w:val="24"/>
          <w:szCs w:val="24"/>
        </w:rPr>
        <w:t xml:space="preserve">st s postojećom godinom, na način da 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39E">
        <w:rPr>
          <w:rFonts w:ascii="Times New Roman" w:hAnsi="Times New Roman" w:cs="Times New Roman"/>
          <w:sz w:val="24"/>
          <w:szCs w:val="24"/>
        </w:rPr>
        <w:t xml:space="preserve">iz AOP334 </w:t>
      </w:r>
      <w:r>
        <w:rPr>
          <w:rFonts w:ascii="Times New Roman" w:hAnsi="Times New Roman" w:cs="Times New Roman"/>
          <w:sz w:val="24"/>
          <w:szCs w:val="24"/>
        </w:rPr>
        <w:t>izuze</w:t>
      </w:r>
      <w:r w:rsidR="00C86E4F">
        <w:rPr>
          <w:rFonts w:ascii="Times New Roman" w:hAnsi="Times New Roman" w:cs="Times New Roman"/>
          <w:sz w:val="24"/>
          <w:szCs w:val="24"/>
        </w:rPr>
        <w:t>t</w:t>
      </w:r>
      <w:r w:rsidR="00D1039E">
        <w:rPr>
          <w:rFonts w:ascii="Times New Roman" w:hAnsi="Times New Roman" w:cs="Times New Roman"/>
          <w:sz w:val="24"/>
          <w:szCs w:val="24"/>
        </w:rPr>
        <w:t xml:space="preserve">i </w:t>
      </w:r>
      <w:r w:rsidR="00B0135C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korisni</w:t>
      </w:r>
      <w:r w:rsidR="00D1039E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39E">
        <w:rPr>
          <w:rFonts w:ascii="Times New Roman" w:hAnsi="Times New Roman" w:cs="Times New Roman"/>
          <w:sz w:val="24"/>
          <w:szCs w:val="24"/>
        </w:rPr>
        <w:t>u iznosu od 2.727.145 kn te iskazani</w:t>
      </w:r>
      <w:r>
        <w:rPr>
          <w:rFonts w:ascii="Times New Roman" w:hAnsi="Times New Roman" w:cs="Times New Roman"/>
          <w:sz w:val="24"/>
          <w:szCs w:val="24"/>
        </w:rPr>
        <w:t xml:space="preserve"> na AOP235 – Prijenos proračunskim korisnicima iz nadležnog proračuna za financiranje redovne </w:t>
      </w:r>
      <w:r>
        <w:rPr>
          <w:rFonts w:ascii="Times New Roman" w:hAnsi="Times New Roman" w:cs="Times New Roman"/>
          <w:sz w:val="24"/>
          <w:szCs w:val="24"/>
        </w:rPr>
        <w:lastRenderedPageBreak/>
        <w:t>djelatnosti</w:t>
      </w:r>
      <w:r w:rsidR="00D1039E">
        <w:rPr>
          <w:rFonts w:ascii="Times New Roman" w:hAnsi="Times New Roman" w:cs="Times New Roman"/>
          <w:sz w:val="24"/>
          <w:szCs w:val="24"/>
        </w:rPr>
        <w:t>. Time</w:t>
      </w:r>
      <w:r>
        <w:rPr>
          <w:rFonts w:ascii="Times New Roman" w:hAnsi="Times New Roman" w:cs="Times New Roman"/>
          <w:sz w:val="24"/>
          <w:szCs w:val="24"/>
        </w:rPr>
        <w:t xml:space="preserve"> su se uvećali ukupni rashodi poslovanja, </w:t>
      </w:r>
      <w:r w:rsidR="00D1039E">
        <w:rPr>
          <w:rFonts w:ascii="Times New Roman" w:hAnsi="Times New Roman" w:cs="Times New Roman"/>
          <w:sz w:val="24"/>
          <w:szCs w:val="24"/>
        </w:rPr>
        <w:t>kao i</w:t>
      </w:r>
      <w:r>
        <w:rPr>
          <w:rFonts w:ascii="Times New Roman" w:hAnsi="Times New Roman" w:cs="Times New Roman"/>
          <w:sz w:val="24"/>
          <w:szCs w:val="24"/>
        </w:rPr>
        <w:t xml:space="preserve"> višak prihoda poslovanja - preneseni (AOP275).</w:t>
      </w: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nabavu nefinancijske imovine u 2015. godini iznose </w:t>
      </w:r>
      <w:r w:rsidR="00C86E4F">
        <w:rPr>
          <w:rFonts w:ascii="Times New Roman" w:hAnsi="Times New Roman" w:cs="Times New Roman"/>
          <w:sz w:val="24"/>
          <w:szCs w:val="24"/>
        </w:rPr>
        <w:t>19.654.133</w:t>
      </w:r>
      <w:r w:rsidR="00D1039E">
        <w:rPr>
          <w:rFonts w:ascii="Times New Roman" w:hAnsi="Times New Roman" w:cs="Times New Roman"/>
          <w:sz w:val="24"/>
          <w:szCs w:val="24"/>
        </w:rPr>
        <w:t xml:space="preserve"> kn i odnose se na</w:t>
      </w:r>
      <w:r>
        <w:rPr>
          <w:rFonts w:ascii="Times New Roman" w:hAnsi="Times New Roman" w:cs="Times New Roman"/>
          <w:sz w:val="24"/>
          <w:szCs w:val="24"/>
        </w:rPr>
        <w:t xml:space="preserve"> rashode Grada. Rashodi su ostvareni za </w:t>
      </w:r>
      <w:r w:rsidR="00C86E4F">
        <w:rPr>
          <w:rFonts w:ascii="Times New Roman" w:hAnsi="Times New Roman" w:cs="Times New Roman"/>
          <w:sz w:val="24"/>
          <w:szCs w:val="24"/>
        </w:rPr>
        <w:t>9,20</w:t>
      </w:r>
      <w:r>
        <w:rPr>
          <w:rFonts w:ascii="Times New Roman" w:hAnsi="Times New Roman" w:cs="Times New Roman"/>
          <w:sz w:val="24"/>
          <w:szCs w:val="24"/>
        </w:rPr>
        <w:t>% manje nego u istom izvještajnom razdoblju 2014. godine.</w:t>
      </w: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Najveća povećanja rash</w:t>
      </w:r>
      <w:r w:rsidR="00D1039E">
        <w:rPr>
          <w:rFonts w:ascii="Times New Roman" w:hAnsi="Times New Roman" w:cs="Times New Roman"/>
          <w:sz w:val="24"/>
          <w:szCs w:val="24"/>
        </w:rPr>
        <w:t>oda unutar ove grupe odnose se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D131BD" w:rsidRDefault="00D1039E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AOP343</w:t>
      </w:r>
      <w:r w:rsidR="00D131BD">
        <w:rPr>
          <w:rFonts w:ascii="Times New Roman" w:hAnsi="Times New Roman" w:cs="Times New Roman"/>
          <w:sz w:val="24"/>
          <w:szCs w:val="24"/>
        </w:rPr>
        <w:t xml:space="preserve"> Licence u iznosu od 140.830 kn. Navedeni iznos</w:t>
      </w:r>
      <w:r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D131BD">
        <w:rPr>
          <w:rFonts w:ascii="Times New Roman" w:hAnsi="Times New Roman" w:cs="Times New Roman"/>
          <w:sz w:val="24"/>
          <w:szCs w:val="24"/>
        </w:rPr>
        <w:t xml:space="preserve">za EU projekt –Prostorno uređenje teritorija unutrašnjosti priobalja Istre (PUT-UP Istre) </w:t>
      </w:r>
      <w:r w:rsidR="00B5366F">
        <w:rPr>
          <w:rFonts w:ascii="Times New Roman" w:hAnsi="Times New Roman" w:cs="Times New Roman"/>
          <w:sz w:val="24"/>
          <w:szCs w:val="24"/>
        </w:rPr>
        <w:t xml:space="preserve">u iznosu od 69.990 kn </w:t>
      </w:r>
      <w:r w:rsidR="00D131BD">
        <w:rPr>
          <w:rFonts w:ascii="Times New Roman" w:hAnsi="Times New Roman" w:cs="Times New Roman"/>
          <w:sz w:val="24"/>
          <w:szCs w:val="24"/>
        </w:rPr>
        <w:t>te rashode za računalni progr</w:t>
      </w:r>
      <w:r w:rsidR="00B5366F">
        <w:rPr>
          <w:rFonts w:ascii="Times New Roman" w:hAnsi="Times New Roman" w:cs="Times New Roman"/>
          <w:sz w:val="24"/>
          <w:szCs w:val="24"/>
        </w:rPr>
        <w:t>am Autocad (Autodesk Auto CARD) u iznosu od 70.840 kn.</w:t>
      </w:r>
    </w:p>
    <w:p w:rsidR="002A50EB" w:rsidRDefault="002A50EB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0EB" w:rsidRDefault="002A50EB" w:rsidP="002A5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AOP354 Uredska oprema i namještaj, rashodi su ostvareni za 209,90% više nego u 2014. godini i iznose 797.380 kn.</w:t>
      </w:r>
    </w:p>
    <w:p w:rsidR="00B5366F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AOP360 </w:t>
      </w:r>
      <w:r w:rsidR="00D131BD">
        <w:rPr>
          <w:rFonts w:ascii="Times New Roman" w:hAnsi="Times New Roman" w:cs="Times New Roman"/>
          <w:sz w:val="24"/>
          <w:szCs w:val="24"/>
        </w:rPr>
        <w:t>Uređaji, strojevi i oprema za ostale namjene u iznosu od 1.479.023 kn od</w:t>
      </w:r>
      <w:r w:rsidR="00C86E4F">
        <w:rPr>
          <w:rFonts w:ascii="Times New Roman" w:hAnsi="Times New Roman" w:cs="Times New Roman"/>
          <w:sz w:val="24"/>
          <w:szCs w:val="24"/>
        </w:rPr>
        <w:t xml:space="preserve"> čega najveći iznosi čine oprema</w:t>
      </w:r>
      <w:r w:rsidR="00D131BD">
        <w:rPr>
          <w:rFonts w:ascii="Times New Roman" w:hAnsi="Times New Roman" w:cs="Times New Roman"/>
          <w:sz w:val="24"/>
          <w:szCs w:val="24"/>
        </w:rPr>
        <w:t xml:space="preserve"> za dječja igrališta, podloge za igrališta (sloj pjeska, ljevane gume), sustav video nadzora, povećanja priključne snage na pojedinim područjima Pule, uređaj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31BD">
        <w:rPr>
          <w:rFonts w:ascii="Times New Roman" w:hAnsi="Times New Roman" w:cs="Times New Roman"/>
          <w:sz w:val="24"/>
          <w:szCs w:val="24"/>
        </w:rPr>
        <w:t xml:space="preserve"> za plinofikaciju i dr.</w:t>
      </w:r>
    </w:p>
    <w:p w:rsidR="00B5366F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AOP379 </w:t>
      </w:r>
      <w:r w:rsidR="00D131BD">
        <w:rPr>
          <w:rFonts w:ascii="Times New Roman" w:hAnsi="Times New Roman" w:cs="Times New Roman"/>
          <w:sz w:val="24"/>
          <w:szCs w:val="24"/>
        </w:rPr>
        <w:t xml:space="preserve">Ostala nematerijalna proizvedena imovina </w:t>
      </w:r>
      <w:r>
        <w:rPr>
          <w:rFonts w:ascii="Times New Roman" w:hAnsi="Times New Roman" w:cs="Times New Roman"/>
          <w:sz w:val="24"/>
          <w:szCs w:val="24"/>
        </w:rPr>
        <w:t xml:space="preserve">u iznosu od 2.424.504 kn za koju su </w:t>
      </w:r>
      <w:r w:rsidR="00B0135C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ostvareni </w:t>
      </w:r>
      <w:r w:rsidR="00D131BD">
        <w:rPr>
          <w:rFonts w:ascii="Times New Roman" w:hAnsi="Times New Roman" w:cs="Times New Roman"/>
          <w:sz w:val="24"/>
          <w:szCs w:val="24"/>
        </w:rPr>
        <w:t>76,5</w:t>
      </w:r>
      <w:r>
        <w:rPr>
          <w:rFonts w:ascii="Times New Roman" w:hAnsi="Times New Roman" w:cs="Times New Roman"/>
          <w:sz w:val="24"/>
          <w:szCs w:val="24"/>
        </w:rPr>
        <w:t>0</w:t>
      </w:r>
      <w:r w:rsidR="00D131BD">
        <w:rPr>
          <w:rFonts w:ascii="Times New Roman" w:hAnsi="Times New Roman" w:cs="Times New Roman"/>
          <w:sz w:val="24"/>
          <w:szCs w:val="24"/>
        </w:rPr>
        <w:t>% više nego 2014. godine. Iznos se odnosi na projektnu dokumentaciju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1BD">
        <w:rPr>
          <w:rFonts w:ascii="Times New Roman" w:hAnsi="Times New Roman" w:cs="Times New Roman"/>
          <w:sz w:val="24"/>
          <w:szCs w:val="24"/>
        </w:rPr>
        <w:t>idejna rješenja, idejni projekti, glavni projekti, izvedbeni projekti, parcelacijski elaborati, razna ispitivanja, elaborati i dr.</w:t>
      </w: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Znatano smanjenje rashoda za nabavu nefinancijske imovine zabilježeni su na:</w:t>
      </w:r>
    </w:p>
    <w:p w:rsidR="00D131BD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AOP349 </w:t>
      </w:r>
      <w:r w:rsidR="00D131BD">
        <w:rPr>
          <w:rFonts w:ascii="Times New Roman" w:hAnsi="Times New Roman" w:cs="Times New Roman"/>
          <w:sz w:val="24"/>
          <w:szCs w:val="24"/>
        </w:rPr>
        <w:t>Stambeni objekti koji iznose 12.714 kn što je za 96,10% manje nego u istom izvještajnom razdoblju 2014. godine.</w:t>
      </w: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F59">
        <w:rPr>
          <w:rFonts w:ascii="Times New Roman" w:hAnsi="Times New Roman" w:cs="Times New Roman"/>
          <w:sz w:val="24"/>
          <w:szCs w:val="24"/>
        </w:rPr>
        <w:t>AOP355</w:t>
      </w:r>
      <w:r w:rsidR="00D131BD" w:rsidRPr="00227F59">
        <w:rPr>
          <w:rFonts w:ascii="Times New Roman" w:hAnsi="Times New Roman" w:cs="Times New Roman"/>
          <w:sz w:val="24"/>
          <w:szCs w:val="24"/>
        </w:rPr>
        <w:t xml:space="preserve"> Komunikacijska oprema također bilježi veliko odstupanje u odnosu na ostvarenje u izvještajnom razdoblju 2014. godine i iznosi 15.100 kn. Navedeni rashodi manji su u odnosu na 2014. godinu za 93,80%</w:t>
      </w:r>
      <w:r w:rsidRPr="00227F59">
        <w:rPr>
          <w:rFonts w:ascii="Times New Roman" w:hAnsi="Times New Roman" w:cs="Times New Roman"/>
          <w:sz w:val="24"/>
          <w:szCs w:val="24"/>
        </w:rPr>
        <w:t>,</w:t>
      </w:r>
      <w:r w:rsidR="00D131BD" w:rsidRPr="00227F59">
        <w:rPr>
          <w:rFonts w:ascii="Times New Roman" w:hAnsi="Times New Roman" w:cs="Times New Roman"/>
          <w:sz w:val="24"/>
          <w:szCs w:val="24"/>
        </w:rPr>
        <w:t xml:space="preserve"> odnosno utrošeno je 229.711 kn manje nego 2014. godine.</w:t>
      </w: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F59">
        <w:rPr>
          <w:rFonts w:ascii="Times New Roman" w:hAnsi="Times New Roman" w:cs="Times New Roman"/>
          <w:sz w:val="24"/>
          <w:szCs w:val="24"/>
        </w:rPr>
        <w:t xml:space="preserve">AOP356 </w:t>
      </w:r>
      <w:r w:rsidR="00D131BD" w:rsidRPr="00227F59">
        <w:rPr>
          <w:rFonts w:ascii="Times New Roman" w:hAnsi="Times New Roman" w:cs="Times New Roman"/>
          <w:sz w:val="24"/>
          <w:szCs w:val="24"/>
        </w:rPr>
        <w:t xml:space="preserve">Oprema za održavanje i zaštitu – </w:t>
      </w:r>
      <w:r w:rsidR="00C86E4F" w:rsidRPr="00227F59">
        <w:rPr>
          <w:rFonts w:ascii="Times New Roman" w:hAnsi="Times New Roman" w:cs="Times New Roman"/>
          <w:sz w:val="24"/>
          <w:szCs w:val="24"/>
        </w:rPr>
        <w:t>rashodi su ostvareni</w:t>
      </w:r>
      <w:r w:rsidRPr="00227F59">
        <w:rPr>
          <w:rFonts w:ascii="Times New Roman" w:hAnsi="Times New Roman" w:cs="Times New Roman"/>
          <w:sz w:val="24"/>
          <w:szCs w:val="24"/>
        </w:rPr>
        <w:t xml:space="preserve"> u iznosu od 97.147</w:t>
      </w:r>
      <w:r w:rsidR="00D131BD" w:rsidRPr="00227F59">
        <w:rPr>
          <w:rFonts w:ascii="Times New Roman" w:hAnsi="Times New Roman" w:cs="Times New Roman"/>
          <w:sz w:val="24"/>
          <w:szCs w:val="24"/>
        </w:rPr>
        <w:t xml:space="preserve"> kn</w:t>
      </w:r>
      <w:r w:rsidRPr="00227F59">
        <w:rPr>
          <w:rFonts w:ascii="Times New Roman" w:hAnsi="Times New Roman" w:cs="Times New Roman"/>
          <w:sz w:val="24"/>
          <w:szCs w:val="24"/>
        </w:rPr>
        <w:t>,</w:t>
      </w:r>
      <w:r w:rsidR="00D131BD" w:rsidRPr="00227F59">
        <w:rPr>
          <w:rFonts w:ascii="Times New Roman" w:hAnsi="Times New Roman" w:cs="Times New Roman"/>
          <w:sz w:val="24"/>
          <w:szCs w:val="24"/>
        </w:rPr>
        <w:t xml:space="preserve"> što je za 23,70%  manje nego u 2014. godini</w:t>
      </w:r>
      <w:r w:rsidRPr="00227F59">
        <w:rPr>
          <w:rFonts w:ascii="Times New Roman" w:hAnsi="Times New Roman" w:cs="Times New Roman"/>
          <w:sz w:val="24"/>
          <w:szCs w:val="24"/>
        </w:rPr>
        <w:t xml:space="preserve"> u istom izvještajnom razdoblju. R</w:t>
      </w:r>
      <w:r w:rsidR="00D131BD" w:rsidRPr="00227F59">
        <w:rPr>
          <w:rFonts w:ascii="Times New Roman" w:hAnsi="Times New Roman" w:cs="Times New Roman"/>
          <w:sz w:val="24"/>
          <w:szCs w:val="24"/>
        </w:rPr>
        <w:t>ashodi se odnose na opremu za grijanje, ventilaciju i hlađenje u iznosu od 68.</w:t>
      </w:r>
      <w:r w:rsidR="00227F59" w:rsidRPr="00227F59">
        <w:rPr>
          <w:rFonts w:ascii="Times New Roman" w:hAnsi="Times New Roman" w:cs="Times New Roman"/>
          <w:sz w:val="24"/>
          <w:szCs w:val="24"/>
        </w:rPr>
        <w:t>119</w:t>
      </w:r>
      <w:r w:rsidR="00D131BD" w:rsidRPr="00227F59">
        <w:rPr>
          <w:rFonts w:ascii="Times New Roman" w:hAnsi="Times New Roman" w:cs="Times New Roman"/>
          <w:sz w:val="24"/>
          <w:szCs w:val="24"/>
        </w:rPr>
        <w:t xml:space="preserve"> kn i opremu za održavanje i zaštitu (protuprovalni alarmni sustav i sustav videonadzora) u iznosu od 28.928 kn.</w:t>
      </w: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AOP363 </w:t>
      </w:r>
      <w:r w:rsidR="00D131BD">
        <w:rPr>
          <w:rFonts w:ascii="Times New Roman" w:hAnsi="Times New Roman" w:cs="Times New Roman"/>
          <w:sz w:val="24"/>
          <w:szCs w:val="24"/>
        </w:rPr>
        <w:t>Prijevozna sredstva u cestovnom prometu – rashodi u iznosu od 75.000 kn odnose se na otkup voz</w:t>
      </w:r>
      <w:r w:rsidR="00C86E4F">
        <w:rPr>
          <w:rFonts w:ascii="Times New Roman" w:hAnsi="Times New Roman" w:cs="Times New Roman"/>
          <w:sz w:val="24"/>
          <w:szCs w:val="24"/>
        </w:rPr>
        <w:t>ila za potrebe Grada</w:t>
      </w:r>
      <w:r w:rsidR="00D131BD">
        <w:rPr>
          <w:rFonts w:ascii="Times New Roman" w:hAnsi="Times New Roman" w:cs="Times New Roman"/>
          <w:sz w:val="24"/>
          <w:szCs w:val="24"/>
        </w:rPr>
        <w:t>. Rashodi su u odnosu na isto izvještajno razdoblje 2014. godine manji za 61,30%.</w:t>
      </w: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AOP377 </w:t>
      </w:r>
      <w:r w:rsidR="00D131BD">
        <w:rPr>
          <w:rFonts w:ascii="Times New Roman" w:hAnsi="Times New Roman" w:cs="Times New Roman"/>
          <w:sz w:val="24"/>
          <w:szCs w:val="24"/>
        </w:rPr>
        <w:t xml:space="preserve">Ulaganja u računalne programe – ostvareni su za 97,60% manje nego u 2014. godini i iznose 12.581 kn, a odnose se na nabavu </w:t>
      </w:r>
      <w:r w:rsidR="00E508CD">
        <w:rPr>
          <w:rFonts w:ascii="Times New Roman" w:hAnsi="Times New Roman" w:cs="Times New Roman"/>
          <w:sz w:val="24"/>
          <w:szCs w:val="24"/>
        </w:rPr>
        <w:t xml:space="preserve">računalnog </w:t>
      </w:r>
      <w:r w:rsidR="00D131BD">
        <w:rPr>
          <w:rFonts w:ascii="Times New Roman" w:hAnsi="Times New Roman" w:cs="Times New Roman"/>
          <w:sz w:val="24"/>
          <w:szCs w:val="24"/>
        </w:rPr>
        <w:t>programa za potrebe EU projekta Sample.</w:t>
      </w:r>
    </w:p>
    <w:p w:rsidR="00D131BD" w:rsidRDefault="00D131BD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BD" w:rsidRDefault="00B5366F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AOP378 </w:t>
      </w:r>
      <w:r w:rsidR="00D131BD">
        <w:rPr>
          <w:rFonts w:ascii="Times New Roman" w:hAnsi="Times New Roman" w:cs="Times New Roman"/>
          <w:sz w:val="24"/>
          <w:szCs w:val="24"/>
        </w:rPr>
        <w:t>Umjetnička, literarna i zna</w:t>
      </w:r>
      <w:r>
        <w:rPr>
          <w:rFonts w:ascii="Times New Roman" w:hAnsi="Times New Roman" w:cs="Times New Roman"/>
          <w:sz w:val="24"/>
          <w:szCs w:val="24"/>
        </w:rPr>
        <w:t xml:space="preserve">nstvena djela – </w:t>
      </w:r>
      <w:r w:rsidR="00A809C6">
        <w:rPr>
          <w:rFonts w:ascii="Times New Roman" w:hAnsi="Times New Roman" w:cs="Times New Roman"/>
          <w:sz w:val="24"/>
          <w:szCs w:val="24"/>
        </w:rPr>
        <w:t xml:space="preserve">troškovi </w:t>
      </w:r>
      <w:r>
        <w:rPr>
          <w:rFonts w:ascii="Times New Roman" w:hAnsi="Times New Roman" w:cs="Times New Roman"/>
          <w:sz w:val="24"/>
          <w:szCs w:val="24"/>
        </w:rPr>
        <w:t>iznose 1.150.312</w:t>
      </w:r>
      <w:r w:rsidR="00D131BD">
        <w:rPr>
          <w:rFonts w:ascii="Times New Roman" w:hAnsi="Times New Roman" w:cs="Times New Roman"/>
          <w:sz w:val="24"/>
          <w:szCs w:val="24"/>
        </w:rPr>
        <w:t xml:space="preserve"> kn</w:t>
      </w:r>
      <w:r w:rsidR="00A809C6">
        <w:rPr>
          <w:rFonts w:ascii="Times New Roman" w:hAnsi="Times New Roman" w:cs="Times New Roman"/>
          <w:sz w:val="24"/>
          <w:szCs w:val="24"/>
        </w:rPr>
        <w:t>,</w:t>
      </w:r>
      <w:r w:rsidR="00D131BD">
        <w:rPr>
          <w:rFonts w:ascii="Times New Roman" w:hAnsi="Times New Roman" w:cs="Times New Roman"/>
          <w:sz w:val="24"/>
          <w:szCs w:val="24"/>
        </w:rPr>
        <w:t xml:space="preserve"> odnosno z</w:t>
      </w:r>
      <w:r w:rsidR="00A809C6">
        <w:rPr>
          <w:rFonts w:ascii="Times New Roman" w:hAnsi="Times New Roman" w:cs="Times New Roman"/>
          <w:sz w:val="24"/>
          <w:szCs w:val="24"/>
        </w:rPr>
        <w:t>a 429.546</w:t>
      </w:r>
      <w:r w:rsidR="00D131BD">
        <w:rPr>
          <w:rFonts w:ascii="Times New Roman" w:hAnsi="Times New Roman" w:cs="Times New Roman"/>
          <w:sz w:val="24"/>
          <w:szCs w:val="24"/>
        </w:rPr>
        <w:t xml:space="preserve"> kn manje u odnosu na 2014. godinu. Rashodi se odnose na dokumente prostornog uređenja u iznosu od 280.950 </w:t>
      </w:r>
      <w:r w:rsidR="00A809C6">
        <w:rPr>
          <w:rFonts w:ascii="Times New Roman" w:hAnsi="Times New Roman" w:cs="Times New Roman"/>
          <w:sz w:val="24"/>
          <w:szCs w:val="24"/>
        </w:rPr>
        <w:t>kn, UPU Riva u iznosu od 190.312</w:t>
      </w:r>
      <w:r w:rsidR="00D131BD">
        <w:rPr>
          <w:rFonts w:ascii="Times New Roman" w:hAnsi="Times New Roman" w:cs="Times New Roman"/>
          <w:sz w:val="24"/>
          <w:szCs w:val="24"/>
        </w:rPr>
        <w:t xml:space="preserve"> kn, izmjene i dopune GUP-a </w:t>
      </w:r>
      <w:r w:rsidR="00D131BD">
        <w:rPr>
          <w:rFonts w:ascii="Times New Roman" w:hAnsi="Times New Roman" w:cs="Times New Roman"/>
          <w:sz w:val="24"/>
          <w:szCs w:val="24"/>
        </w:rPr>
        <w:lastRenderedPageBreak/>
        <w:t>u iznosu od 90.200 kn, izmjene i dopune GUP-a ili PPUG prema izmjenama Zakona o prostornom uređenju i gradnji u iznosu od 88.500 kn, UPU Š</w:t>
      </w:r>
      <w:r w:rsidR="00A809C6">
        <w:rPr>
          <w:rFonts w:ascii="Times New Roman" w:hAnsi="Times New Roman" w:cs="Times New Roman"/>
          <w:sz w:val="24"/>
          <w:szCs w:val="24"/>
        </w:rPr>
        <w:t>tinjan u iznosu od 394.750 kn,</w:t>
      </w:r>
      <w:r w:rsidR="00D131BD">
        <w:rPr>
          <w:rFonts w:ascii="Times New Roman" w:hAnsi="Times New Roman" w:cs="Times New Roman"/>
          <w:sz w:val="24"/>
          <w:szCs w:val="24"/>
        </w:rPr>
        <w:t xml:space="preserve"> II izmjene i dopune PPUG u iznosu od 65.600 kn te ostalo – izmjena glavnog projekta u sklopu EU projekta Adrifort iznosu od 40.000 kn</w:t>
      </w:r>
      <w:r w:rsidR="002825A7">
        <w:rPr>
          <w:rFonts w:ascii="Times New Roman" w:hAnsi="Times New Roman" w:cs="Times New Roman"/>
          <w:sz w:val="24"/>
          <w:szCs w:val="24"/>
        </w:rPr>
        <w:t>.</w:t>
      </w:r>
    </w:p>
    <w:p w:rsidR="002825A7" w:rsidRDefault="002825A7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5A7" w:rsidRPr="00D131BD" w:rsidRDefault="002825A7" w:rsidP="002825A7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AOP408 / 8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PRIMICI OD FINANCIJSKE IMOVINE I ZADUŽIVANJA iznose 1.159 kn </w:t>
      </w:r>
    </w:p>
    <w:p w:rsidR="002825A7" w:rsidRDefault="002825A7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5A7" w:rsidRDefault="002825A7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AOP425 Povrat zajmova danih tuzemnim kreditnim institucijama izvan javnog sektora – iznosi 1.159 kn, a odnosi se na isplatu depozita po Ugovoru o oročenju br.1000328386.</w:t>
      </w:r>
    </w:p>
    <w:p w:rsidR="002825A7" w:rsidRDefault="002825A7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5A7" w:rsidRPr="00D131BD" w:rsidRDefault="002825A7" w:rsidP="002825A7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AOP519 / 5</w:t>
      </w:r>
      <w:r w:rsidRPr="00D13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IZDACI ZA FINANCIJSKU IMOVINU I OTPLATU ZAJMOVA iznosi 6.124.282 kn </w:t>
      </w:r>
    </w:p>
    <w:p w:rsidR="002825A7" w:rsidRPr="002825A7" w:rsidRDefault="002825A7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5A7" w:rsidRPr="002825A7" w:rsidRDefault="002825A7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5A7">
        <w:rPr>
          <w:rFonts w:ascii="Times New Roman" w:hAnsi="Times New Roman" w:cs="Times New Roman"/>
          <w:sz w:val="24"/>
          <w:szCs w:val="24"/>
        </w:rPr>
        <w:t>AOP578 Dionice i udjeli u glavnici trgovačkih dr</w:t>
      </w:r>
      <w:r w:rsidR="00A809C6">
        <w:rPr>
          <w:rFonts w:ascii="Times New Roman" w:hAnsi="Times New Roman" w:cs="Times New Roman"/>
          <w:sz w:val="24"/>
          <w:szCs w:val="24"/>
        </w:rPr>
        <w:t>uštava u javnom sektoru – iznose</w:t>
      </w:r>
      <w:r w:rsidRPr="002825A7">
        <w:rPr>
          <w:rFonts w:ascii="Times New Roman" w:hAnsi="Times New Roman" w:cs="Times New Roman"/>
          <w:sz w:val="24"/>
          <w:szCs w:val="24"/>
        </w:rPr>
        <w:t xml:space="preserve"> 1.331.000 kn što je za 30,10% manje izdataka nego u izvještajnom razdoblju</w:t>
      </w:r>
      <w:r w:rsidR="00E508CD">
        <w:rPr>
          <w:rFonts w:ascii="Times New Roman" w:hAnsi="Times New Roman" w:cs="Times New Roman"/>
          <w:sz w:val="24"/>
          <w:szCs w:val="24"/>
        </w:rPr>
        <w:t xml:space="preserve"> 2014. godine</w:t>
      </w:r>
      <w:r w:rsidRPr="002825A7">
        <w:rPr>
          <w:rFonts w:ascii="Times New Roman" w:hAnsi="Times New Roman" w:cs="Times New Roman"/>
          <w:sz w:val="24"/>
          <w:szCs w:val="24"/>
        </w:rPr>
        <w:t>.</w:t>
      </w:r>
    </w:p>
    <w:p w:rsidR="002825A7" w:rsidRPr="002825A7" w:rsidRDefault="002825A7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5A7">
        <w:rPr>
          <w:rFonts w:ascii="Times New Roman" w:hAnsi="Times New Roman" w:cs="Times New Roman"/>
          <w:sz w:val="24"/>
          <w:szCs w:val="24"/>
        </w:rPr>
        <w:t>Navedeni iznos odnosi se na uplatu temeljnog kapitala trgovačkom društvu Kaštijun d.o.o. u iznosu od 867.000 kn</w:t>
      </w:r>
      <w:r w:rsidR="002A50EB">
        <w:rPr>
          <w:rFonts w:ascii="Times New Roman" w:hAnsi="Times New Roman" w:cs="Times New Roman"/>
          <w:sz w:val="24"/>
          <w:szCs w:val="24"/>
        </w:rPr>
        <w:t>,</w:t>
      </w:r>
      <w:r w:rsidRPr="002825A7">
        <w:rPr>
          <w:rFonts w:ascii="Times New Roman" w:hAnsi="Times New Roman" w:cs="Times New Roman"/>
          <w:sz w:val="24"/>
          <w:szCs w:val="24"/>
        </w:rPr>
        <w:t xml:space="preserve"> te uplatu temeljnog kapitala u iznosu od 464.000 kn za IDA d.o.o.</w:t>
      </w:r>
      <w:r w:rsidR="00A809C6">
        <w:rPr>
          <w:rFonts w:ascii="Times New Roman" w:hAnsi="Times New Roman" w:cs="Times New Roman"/>
          <w:sz w:val="24"/>
          <w:szCs w:val="24"/>
        </w:rPr>
        <w:t>,</w:t>
      </w:r>
      <w:r w:rsidRPr="002825A7">
        <w:rPr>
          <w:rFonts w:ascii="Times New Roman" w:hAnsi="Times New Roman" w:cs="Times New Roman"/>
          <w:sz w:val="24"/>
          <w:szCs w:val="24"/>
        </w:rPr>
        <w:t xml:space="preserve"> sukladno društvenom ugovoru</w:t>
      </w:r>
      <w:r w:rsidR="002A50EB">
        <w:rPr>
          <w:rFonts w:ascii="Times New Roman" w:hAnsi="Times New Roman" w:cs="Times New Roman"/>
          <w:sz w:val="24"/>
          <w:szCs w:val="24"/>
        </w:rPr>
        <w:t xml:space="preserve"> </w:t>
      </w:r>
      <w:r w:rsidRPr="002825A7">
        <w:rPr>
          <w:rFonts w:ascii="Times New Roman" w:hAnsi="Times New Roman" w:cs="Times New Roman"/>
          <w:sz w:val="24"/>
          <w:szCs w:val="24"/>
        </w:rPr>
        <w:t>čime su u cijelosti ispunjene ugovorne obveze.</w:t>
      </w:r>
    </w:p>
    <w:p w:rsidR="002825A7" w:rsidRPr="002825A7" w:rsidRDefault="002825A7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5A7" w:rsidRDefault="002825A7" w:rsidP="002825A7">
      <w:pPr>
        <w:rPr>
          <w:rFonts w:ascii="Times New Roman" w:hAnsi="Times New Roman" w:cs="Times New Roman"/>
          <w:sz w:val="24"/>
          <w:szCs w:val="24"/>
        </w:rPr>
      </w:pPr>
      <w:r w:rsidRPr="00E508CD">
        <w:rPr>
          <w:rFonts w:ascii="Times New Roman" w:hAnsi="Times New Roman" w:cs="Times New Roman"/>
          <w:sz w:val="24"/>
          <w:szCs w:val="24"/>
        </w:rPr>
        <w:t xml:space="preserve">AOP598 </w:t>
      </w:r>
      <w:r w:rsidRPr="002825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tplata</w:t>
      </w:r>
      <w:r w:rsidRPr="002825A7">
        <w:rPr>
          <w:rFonts w:ascii="Times New Roman" w:hAnsi="Times New Roman" w:cs="Times New Roman"/>
          <w:sz w:val="24"/>
          <w:szCs w:val="24"/>
        </w:rPr>
        <w:t xml:space="preserve"> glavnice primljenih kredita </w:t>
      </w:r>
      <w:r>
        <w:rPr>
          <w:rFonts w:ascii="Times New Roman" w:hAnsi="Times New Roman" w:cs="Times New Roman"/>
          <w:sz w:val="24"/>
          <w:szCs w:val="24"/>
        </w:rPr>
        <w:t>od tuzemnih kreditnih institucija izvan javnog sektora</w:t>
      </w:r>
      <w:r w:rsidRPr="002825A7">
        <w:rPr>
          <w:rFonts w:ascii="Times New Roman" w:hAnsi="Times New Roman" w:cs="Times New Roman"/>
          <w:sz w:val="24"/>
          <w:szCs w:val="24"/>
        </w:rPr>
        <w:t xml:space="preserve"> - izvršeni su u iznosu od </w:t>
      </w:r>
      <w:r>
        <w:rPr>
          <w:rFonts w:ascii="Times New Roman" w:hAnsi="Times New Roman" w:cs="Times New Roman"/>
          <w:sz w:val="24"/>
          <w:szCs w:val="24"/>
        </w:rPr>
        <w:t>3.818.951 kn</w:t>
      </w:r>
      <w:r w:rsidRPr="002825A7">
        <w:rPr>
          <w:rFonts w:ascii="Times New Roman" w:hAnsi="Times New Roman" w:cs="Times New Roman"/>
          <w:sz w:val="24"/>
          <w:szCs w:val="24"/>
        </w:rPr>
        <w:t>, a čine otplatu glavnice dugoročnih kredita Zagrebačke banke d.d. za izgradnju OŠ Veli Vrh I faza u iznosu od 1.</w:t>
      </w:r>
      <w:r>
        <w:rPr>
          <w:rFonts w:ascii="Times New Roman" w:hAnsi="Times New Roman" w:cs="Times New Roman"/>
          <w:sz w:val="24"/>
          <w:szCs w:val="24"/>
        </w:rPr>
        <w:t>724.738</w:t>
      </w:r>
      <w:r w:rsidRPr="002825A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</w:t>
      </w:r>
      <w:r w:rsidR="00A809C6">
        <w:rPr>
          <w:rFonts w:ascii="Times New Roman" w:hAnsi="Times New Roman" w:cs="Times New Roman"/>
          <w:sz w:val="24"/>
          <w:szCs w:val="24"/>
        </w:rPr>
        <w:t xml:space="preserve"> i </w:t>
      </w:r>
      <w:r w:rsidRPr="002825A7">
        <w:rPr>
          <w:rFonts w:ascii="Times New Roman" w:hAnsi="Times New Roman" w:cs="Times New Roman"/>
          <w:sz w:val="24"/>
          <w:szCs w:val="24"/>
        </w:rPr>
        <w:t xml:space="preserve">II faza u iznosu od </w:t>
      </w:r>
      <w:r>
        <w:rPr>
          <w:rFonts w:ascii="Times New Roman" w:hAnsi="Times New Roman" w:cs="Times New Roman"/>
          <w:sz w:val="24"/>
          <w:szCs w:val="24"/>
        </w:rPr>
        <w:t>2.094.213</w:t>
      </w:r>
      <w:r w:rsidRPr="002825A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2825A7" w:rsidRPr="002825A7" w:rsidRDefault="002825A7" w:rsidP="00282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AOP605 </w:t>
      </w:r>
      <w:r w:rsidRPr="002825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tplata</w:t>
      </w:r>
      <w:r w:rsidRPr="002825A7">
        <w:rPr>
          <w:rFonts w:ascii="Times New Roman" w:hAnsi="Times New Roman" w:cs="Times New Roman"/>
          <w:sz w:val="24"/>
          <w:szCs w:val="24"/>
        </w:rPr>
        <w:t xml:space="preserve"> glavnice primljenih </w:t>
      </w:r>
      <w:r>
        <w:rPr>
          <w:rFonts w:ascii="Times New Roman" w:hAnsi="Times New Roman" w:cs="Times New Roman"/>
          <w:sz w:val="24"/>
          <w:szCs w:val="24"/>
        </w:rPr>
        <w:t>zajmova</w:t>
      </w:r>
      <w:r w:rsidRPr="0028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tuzemnih trgovačkih društava izvan javnog sektora</w:t>
      </w:r>
      <w:r w:rsidRPr="0028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Pr="002825A7">
        <w:rPr>
          <w:rFonts w:ascii="Times New Roman" w:hAnsi="Times New Roman" w:cs="Times New Roman"/>
          <w:sz w:val="24"/>
          <w:szCs w:val="24"/>
        </w:rPr>
        <w:t xml:space="preserve">otplatu robnog zajma Hep Esco d.o.o. u iznosu od </w:t>
      </w:r>
      <w:r>
        <w:rPr>
          <w:rFonts w:ascii="Times New Roman" w:hAnsi="Times New Roman" w:cs="Times New Roman"/>
          <w:sz w:val="24"/>
          <w:szCs w:val="24"/>
        </w:rPr>
        <w:t>974.331</w:t>
      </w:r>
      <w:r w:rsidRPr="002825A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825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Navedeni zajam za energetsku učinkovitost u cijelosti je otplaćen.</w:t>
      </w:r>
    </w:p>
    <w:p w:rsidR="002825A7" w:rsidRDefault="002825A7" w:rsidP="002825A7">
      <w:pPr>
        <w:rPr>
          <w:b/>
        </w:rPr>
      </w:pPr>
    </w:p>
    <w:p w:rsidR="002825A7" w:rsidRDefault="00560485" w:rsidP="00D1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31.12.2015.</w:t>
      </w:r>
    </w:p>
    <w:sectPr w:rsidR="002825A7" w:rsidSect="00D131BD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830"/>
    <w:multiLevelType w:val="hybridMultilevel"/>
    <w:tmpl w:val="49E67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6E7E"/>
    <w:multiLevelType w:val="hybridMultilevel"/>
    <w:tmpl w:val="A02E7C5C"/>
    <w:lvl w:ilvl="0" w:tplc="6152DC0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E35"/>
    <w:rsid w:val="00011272"/>
    <w:rsid w:val="000A5E08"/>
    <w:rsid w:val="00145A91"/>
    <w:rsid w:val="001834E9"/>
    <w:rsid w:val="00227F59"/>
    <w:rsid w:val="002825A7"/>
    <w:rsid w:val="002A50EB"/>
    <w:rsid w:val="002B06F2"/>
    <w:rsid w:val="00315F6A"/>
    <w:rsid w:val="004665CE"/>
    <w:rsid w:val="00532162"/>
    <w:rsid w:val="00560485"/>
    <w:rsid w:val="005668B5"/>
    <w:rsid w:val="00576129"/>
    <w:rsid w:val="005D211D"/>
    <w:rsid w:val="00626FB6"/>
    <w:rsid w:val="006C3E8D"/>
    <w:rsid w:val="006F427D"/>
    <w:rsid w:val="00762AC1"/>
    <w:rsid w:val="00770C2F"/>
    <w:rsid w:val="0083777A"/>
    <w:rsid w:val="00896E72"/>
    <w:rsid w:val="008F0639"/>
    <w:rsid w:val="00911401"/>
    <w:rsid w:val="00930F5B"/>
    <w:rsid w:val="00972FF4"/>
    <w:rsid w:val="00A55E35"/>
    <w:rsid w:val="00A769CA"/>
    <w:rsid w:val="00A809C6"/>
    <w:rsid w:val="00AE22C0"/>
    <w:rsid w:val="00B0135C"/>
    <w:rsid w:val="00B5366F"/>
    <w:rsid w:val="00B60B72"/>
    <w:rsid w:val="00B63C1A"/>
    <w:rsid w:val="00BC4412"/>
    <w:rsid w:val="00C419FD"/>
    <w:rsid w:val="00C86E4F"/>
    <w:rsid w:val="00D1039E"/>
    <w:rsid w:val="00D131BD"/>
    <w:rsid w:val="00D451EA"/>
    <w:rsid w:val="00D514FA"/>
    <w:rsid w:val="00D539DA"/>
    <w:rsid w:val="00DE0B7F"/>
    <w:rsid w:val="00E508CD"/>
    <w:rsid w:val="00EC219C"/>
    <w:rsid w:val="00F8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6C00F-CCC9-4EA8-94C5-6D584553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Škopac Koroman</dc:creator>
  <cp:lastModifiedBy>Katja Škopac Koroman</cp:lastModifiedBy>
  <cp:revision>10</cp:revision>
  <cp:lastPrinted>2016-02-15T09:57:00Z</cp:lastPrinted>
  <dcterms:created xsi:type="dcterms:W3CDTF">2016-02-12T10:29:00Z</dcterms:created>
  <dcterms:modified xsi:type="dcterms:W3CDTF">2016-02-15T09:57:00Z</dcterms:modified>
</cp:coreProperties>
</file>