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21841" w14:textId="77777777" w:rsidR="00B07599" w:rsidRPr="00B850F9" w:rsidRDefault="00B07599" w:rsidP="00B07599">
      <w:pPr>
        <w:jc w:val="center"/>
        <w:rPr>
          <w:b/>
          <w:color w:val="000000" w:themeColor="text1"/>
        </w:rPr>
      </w:pPr>
      <w:bookmarkStart w:id="0" w:name="_GoBack"/>
      <w:bookmarkEnd w:id="0"/>
      <w:r w:rsidRPr="00B850F9">
        <w:rPr>
          <w:b/>
          <w:color w:val="000000" w:themeColor="text1"/>
        </w:rPr>
        <w:t>GRAD PULA</w:t>
      </w:r>
      <w:r w:rsidR="001C4D5E">
        <w:rPr>
          <w:b/>
          <w:color w:val="000000" w:themeColor="text1"/>
        </w:rPr>
        <w:t>-POLA</w:t>
      </w:r>
      <w:r w:rsidRPr="00B850F9">
        <w:rPr>
          <w:b/>
          <w:color w:val="000000" w:themeColor="text1"/>
        </w:rPr>
        <w:t xml:space="preserve">, UPRAVNI ODJEL ZA </w:t>
      </w:r>
      <w:r w:rsidR="008610E8">
        <w:rPr>
          <w:b/>
          <w:color w:val="000000" w:themeColor="text1"/>
        </w:rPr>
        <w:t>DRUŠTVENE DJELATNOSTI</w:t>
      </w:r>
    </w:p>
    <w:p w14:paraId="29294E08" w14:textId="77777777" w:rsidR="00E045B6" w:rsidRPr="00B850F9" w:rsidRDefault="00E045B6" w:rsidP="00E045B6">
      <w:pPr>
        <w:rPr>
          <w:color w:val="000000" w:themeColor="text1"/>
        </w:rPr>
      </w:pPr>
    </w:p>
    <w:p w14:paraId="30A34945" w14:textId="77777777" w:rsidR="00522F59" w:rsidRPr="00B850F9" w:rsidRDefault="00E045B6" w:rsidP="00522F59">
      <w:pPr>
        <w:jc w:val="both"/>
        <w:rPr>
          <w:bCs/>
          <w:color w:val="000000" w:themeColor="text1"/>
        </w:rPr>
      </w:pPr>
      <w:r w:rsidRPr="00B850F9">
        <w:rPr>
          <w:color w:val="000000" w:themeColor="text1"/>
        </w:rPr>
        <w:t>Sukladno članku 17.</w:t>
      </w:r>
      <w:r w:rsidR="00723E73" w:rsidRPr="00B850F9">
        <w:rPr>
          <w:color w:val="000000" w:themeColor="text1"/>
        </w:rPr>
        <w:t xml:space="preserve"> i</w:t>
      </w:r>
      <w:r w:rsidRPr="00B850F9">
        <w:rPr>
          <w:color w:val="000000" w:themeColor="text1"/>
        </w:rPr>
        <w:t xml:space="preserve"> 19. Zakona o službenicima i namještenicima u lokalnoj i područnoj (regionalnoj) samoupravi („Narodne novine“ broj 86/08</w:t>
      </w:r>
      <w:r w:rsidR="008D510A" w:rsidRPr="00B850F9">
        <w:rPr>
          <w:color w:val="000000" w:themeColor="text1"/>
        </w:rPr>
        <w:t>., 61/11.</w:t>
      </w:r>
      <w:r w:rsidRPr="00B850F9">
        <w:rPr>
          <w:color w:val="000000" w:themeColor="text1"/>
        </w:rPr>
        <w:t xml:space="preserve">), </w:t>
      </w:r>
      <w:r w:rsidR="00723E73" w:rsidRPr="00B850F9">
        <w:rPr>
          <w:color w:val="000000" w:themeColor="text1"/>
        </w:rPr>
        <w:t xml:space="preserve">uz prethodnu suglasnost Gradonačelnika Grada Pula-Pola, osoba ovlaštena </w:t>
      </w:r>
      <w:r w:rsidR="00522F59" w:rsidRPr="00B850F9">
        <w:rPr>
          <w:color w:val="000000" w:themeColor="text1"/>
        </w:rPr>
        <w:t>za obavljanje poslova pročelnice</w:t>
      </w:r>
      <w:r w:rsidR="00723E73" w:rsidRPr="00B850F9">
        <w:rPr>
          <w:color w:val="000000" w:themeColor="text1"/>
        </w:rPr>
        <w:t xml:space="preserve"> Upravnog odjela za </w:t>
      </w:r>
      <w:r w:rsidR="008610E8">
        <w:rPr>
          <w:color w:val="000000" w:themeColor="text1"/>
        </w:rPr>
        <w:t>društvene djelatnosti</w:t>
      </w:r>
      <w:r w:rsidR="00723E73" w:rsidRPr="00B850F9">
        <w:rPr>
          <w:color w:val="000000" w:themeColor="text1"/>
        </w:rPr>
        <w:t xml:space="preserve"> Grada Pula-Pola </w:t>
      </w:r>
      <w:r w:rsidRPr="00B850F9">
        <w:rPr>
          <w:color w:val="000000" w:themeColor="text1"/>
        </w:rPr>
        <w:t>ras</w:t>
      </w:r>
      <w:r w:rsidRPr="00B850F9">
        <w:rPr>
          <w:bCs/>
          <w:color w:val="000000" w:themeColor="text1"/>
        </w:rPr>
        <w:t>pisa</w:t>
      </w:r>
      <w:r w:rsidR="00522F59" w:rsidRPr="00B850F9">
        <w:rPr>
          <w:bCs/>
          <w:color w:val="000000" w:themeColor="text1"/>
        </w:rPr>
        <w:t>la</w:t>
      </w:r>
      <w:r w:rsidRPr="00B850F9">
        <w:rPr>
          <w:bCs/>
          <w:color w:val="000000" w:themeColor="text1"/>
        </w:rPr>
        <w:t xml:space="preserve"> je javni natječaj objavljen </w:t>
      </w:r>
      <w:r w:rsidR="002427E0" w:rsidRPr="00912DF5">
        <w:rPr>
          <w:bCs/>
        </w:rPr>
        <w:t>1</w:t>
      </w:r>
      <w:r w:rsidR="00912DF5" w:rsidRPr="00912DF5">
        <w:rPr>
          <w:bCs/>
        </w:rPr>
        <w:t>9</w:t>
      </w:r>
      <w:r w:rsidR="00AF1E74" w:rsidRPr="00912DF5">
        <w:rPr>
          <w:bCs/>
        </w:rPr>
        <w:t>.</w:t>
      </w:r>
      <w:r w:rsidR="00912DF5" w:rsidRPr="00912DF5">
        <w:rPr>
          <w:bCs/>
        </w:rPr>
        <w:t>06</w:t>
      </w:r>
      <w:r w:rsidR="00AF1E74" w:rsidRPr="00912DF5">
        <w:rPr>
          <w:bCs/>
        </w:rPr>
        <w:t>.201</w:t>
      </w:r>
      <w:r w:rsidR="00912DF5" w:rsidRPr="00912DF5">
        <w:rPr>
          <w:bCs/>
        </w:rPr>
        <w:t>9</w:t>
      </w:r>
      <w:r w:rsidR="0088727E" w:rsidRPr="00912DF5">
        <w:rPr>
          <w:bCs/>
        </w:rPr>
        <w:t>.</w:t>
      </w:r>
      <w:r w:rsidR="00723E73" w:rsidRPr="00912DF5">
        <w:rPr>
          <w:bCs/>
        </w:rPr>
        <w:t xml:space="preserve"> g</w:t>
      </w:r>
      <w:r w:rsidRPr="00912DF5">
        <w:rPr>
          <w:bCs/>
        </w:rPr>
        <w:t>odine</w:t>
      </w:r>
      <w:r w:rsidRPr="00B850F9">
        <w:rPr>
          <w:bCs/>
          <w:color w:val="000000" w:themeColor="text1"/>
        </w:rPr>
        <w:t xml:space="preserve"> u „Narodnim novinama</w:t>
      </w:r>
      <w:r w:rsidR="0088727E" w:rsidRPr="00B850F9">
        <w:rPr>
          <w:bCs/>
          <w:color w:val="000000" w:themeColor="text1"/>
        </w:rPr>
        <w:t>“</w:t>
      </w:r>
      <w:r w:rsidRPr="00B850F9">
        <w:rPr>
          <w:bCs/>
          <w:color w:val="000000" w:themeColor="text1"/>
        </w:rPr>
        <w:t xml:space="preserve"> Republike Hrvatske</w:t>
      </w:r>
      <w:r w:rsidR="00723E73" w:rsidRPr="00B850F9">
        <w:rPr>
          <w:bCs/>
          <w:color w:val="000000" w:themeColor="text1"/>
        </w:rPr>
        <w:t>, na Hrvatskom zavodu za zapošljavanje</w:t>
      </w:r>
      <w:r w:rsidR="008555FF">
        <w:rPr>
          <w:bCs/>
          <w:color w:val="000000" w:themeColor="text1"/>
        </w:rPr>
        <w:t>, Područni ured Pula</w:t>
      </w:r>
      <w:r w:rsidR="00723E73" w:rsidRPr="00B850F9">
        <w:rPr>
          <w:bCs/>
          <w:color w:val="000000" w:themeColor="text1"/>
        </w:rPr>
        <w:t xml:space="preserve"> i web stranicama Grada Pula-Pola</w:t>
      </w:r>
      <w:r w:rsidRPr="00B850F9">
        <w:rPr>
          <w:bCs/>
          <w:color w:val="000000" w:themeColor="text1"/>
        </w:rPr>
        <w:t xml:space="preserve"> za radno mjesto: </w:t>
      </w:r>
    </w:p>
    <w:p w14:paraId="033EB709" w14:textId="77777777" w:rsidR="00522F59" w:rsidRPr="00B850F9" w:rsidRDefault="00522F59" w:rsidP="00522F59">
      <w:pPr>
        <w:jc w:val="both"/>
        <w:rPr>
          <w:bCs/>
          <w:color w:val="000000" w:themeColor="text1"/>
        </w:rPr>
      </w:pPr>
    </w:p>
    <w:p w14:paraId="18007504" w14:textId="77777777" w:rsidR="00522F59" w:rsidRPr="00B850F9" w:rsidRDefault="008610E8" w:rsidP="0088727E">
      <w:pPr>
        <w:rPr>
          <w:bCs/>
          <w:color w:val="000000" w:themeColor="text1"/>
        </w:rPr>
      </w:pPr>
      <w:r>
        <w:rPr>
          <w:rFonts w:eastAsia="Calibri"/>
          <w:b/>
          <w:color w:val="000000" w:themeColor="text1"/>
        </w:rPr>
        <w:t>Savjetnik 1. za zaštitu životinja, socijalna davanja i udruge</w:t>
      </w:r>
      <w:r w:rsidR="0049751A" w:rsidRPr="00B850F9">
        <w:rPr>
          <w:rFonts w:eastAsia="Calibri"/>
          <w:b/>
          <w:color w:val="000000" w:themeColor="text1"/>
        </w:rPr>
        <w:t xml:space="preserve"> </w:t>
      </w:r>
      <w:r w:rsidR="0049751A" w:rsidRPr="00B850F9">
        <w:rPr>
          <w:b/>
          <w:noProof/>
          <w:color w:val="000000" w:themeColor="text1"/>
        </w:rPr>
        <w:t xml:space="preserve"> </w:t>
      </w:r>
      <w:r w:rsidR="0049751A" w:rsidRPr="00B850F9">
        <w:rPr>
          <w:b/>
          <w:bCs/>
          <w:color w:val="000000" w:themeColor="text1"/>
        </w:rPr>
        <w:t>– 1 izvršitelj na neodređeno vrijeme</w:t>
      </w:r>
    </w:p>
    <w:p w14:paraId="6495DC64" w14:textId="77777777" w:rsidR="00E045B6" w:rsidRPr="00B850F9" w:rsidRDefault="00E045B6" w:rsidP="0088727E">
      <w:pPr>
        <w:rPr>
          <w:bCs/>
          <w:color w:val="000000" w:themeColor="text1"/>
        </w:rPr>
      </w:pPr>
      <w:r w:rsidRPr="00B850F9">
        <w:rPr>
          <w:bCs/>
          <w:color w:val="000000" w:themeColor="text1"/>
        </w:rPr>
        <w:t>pa se sukladno navedenom daju slijedeće:</w:t>
      </w:r>
    </w:p>
    <w:p w14:paraId="6434D32D" w14:textId="77777777" w:rsidR="00E045B6" w:rsidRPr="00B850F9" w:rsidRDefault="00E045B6" w:rsidP="00E045B6">
      <w:pPr>
        <w:jc w:val="both"/>
        <w:rPr>
          <w:bCs/>
          <w:color w:val="000000" w:themeColor="text1"/>
        </w:rPr>
      </w:pPr>
    </w:p>
    <w:p w14:paraId="59963FEF" w14:textId="77777777" w:rsidR="00E045B6" w:rsidRPr="00B850F9" w:rsidRDefault="00E045B6" w:rsidP="00E045B6">
      <w:pPr>
        <w:jc w:val="both"/>
        <w:rPr>
          <w:b/>
          <w:bCs/>
          <w:color w:val="000000" w:themeColor="text1"/>
        </w:rPr>
      </w:pPr>
      <w:r w:rsidRPr="00B850F9">
        <w:rPr>
          <w:b/>
          <w:bCs/>
          <w:color w:val="000000" w:themeColor="text1"/>
        </w:rPr>
        <w:t>OBAVIJESTI I UPUTE</w:t>
      </w:r>
    </w:p>
    <w:p w14:paraId="741FA4D0" w14:textId="77777777" w:rsidR="00E045B6" w:rsidRPr="00B850F9" w:rsidRDefault="00E045B6" w:rsidP="00E045B6">
      <w:pPr>
        <w:jc w:val="both"/>
        <w:rPr>
          <w:b/>
          <w:color w:val="000000" w:themeColor="text1"/>
        </w:rPr>
      </w:pPr>
      <w:r w:rsidRPr="00B850F9">
        <w:rPr>
          <w:b/>
          <w:color w:val="000000" w:themeColor="text1"/>
        </w:rPr>
        <w:t>Opis poslova radnog mjesta:</w:t>
      </w:r>
    </w:p>
    <w:p w14:paraId="7D02BC77" w14:textId="77777777" w:rsidR="008610E8" w:rsidRDefault="008610E8" w:rsidP="008610E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20"/>
        <w:jc w:val="both"/>
      </w:pPr>
      <w:r>
        <w:t>proučava i stručno obrađuje pitanja iz područja zaštite životinja i socijalne skrbi</w:t>
      </w:r>
    </w:p>
    <w:p w14:paraId="6D0519A3" w14:textId="77777777" w:rsidR="008610E8" w:rsidRDefault="008610E8" w:rsidP="008610E8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-20"/>
        <w:jc w:val="both"/>
      </w:pPr>
      <w:r>
        <w:t xml:space="preserve">surađuje u izradi odgovarajućih prijedloga, analiza i drugog stručnog materijala, predlaže rješenja u složenijim pitanjima iz područja zaštite životinja i socijalne skrbi </w:t>
      </w:r>
    </w:p>
    <w:p w14:paraId="77B57E85" w14:textId="77777777" w:rsidR="008610E8" w:rsidRDefault="008610E8" w:rsidP="008610E8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-20"/>
        <w:jc w:val="both"/>
      </w:pPr>
      <w:r>
        <w:t>surađuje s ustanovama, udrugama, mjesnom samoupravom, te drugim pravnim osobama u pogledu praćenja pokazatelja zaštite životinja i socijalne zaštite,</w:t>
      </w:r>
    </w:p>
    <w:p w14:paraId="08C39B59" w14:textId="77777777" w:rsidR="008610E8" w:rsidRDefault="008610E8" w:rsidP="008610E8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-20"/>
        <w:jc w:val="both"/>
      </w:pPr>
      <w:r>
        <w:t>sudjeluje u pripremi javnog poziva, prijedloga programa zaštite životinja, socijalnog programa i izvještaja o provedbi navedenih programa,</w:t>
      </w:r>
    </w:p>
    <w:p w14:paraId="532B4F84" w14:textId="77777777" w:rsidR="008610E8" w:rsidRDefault="008610E8" w:rsidP="008610E8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-20"/>
        <w:jc w:val="both"/>
      </w:pPr>
      <w:r>
        <w:t>vodi upravne i stručne postupke vezane za provođenje programa za zaštitu životinja i socijalnog programa, izrađuje naloge za isplatu i dostavlja ih dalje u rad, te vodi evidenciju o korisnicima prava,</w:t>
      </w:r>
    </w:p>
    <w:p w14:paraId="3F965EE8" w14:textId="77777777" w:rsidR="008610E8" w:rsidRDefault="008610E8" w:rsidP="008610E8">
      <w:pPr>
        <w:widowControl w:val="0"/>
        <w:numPr>
          <w:ilvl w:val="0"/>
          <w:numId w:val="15"/>
        </w:numPr>
        <w:tabs>
          <w:tab w:val="clear" w:pos="1196"/>
          <w:tab w:val="left" w:pos="1180"/>
        </w:tabs>
        <w:autoSpaceDE w:val="0"/>
        <w:autoSpaceDN w:val="0"/>
        <w:adjustRightInd w:val="0"/>
        <w:ind w:right="-134"/>
        <w:jc w:val="both"/>
        <w:rPr>
          <w:color w:val="000000"/>
        </w:rPr>
      </w:pPr>
      <w:r>
        <w:rPr>
          <w:color w:val="000000"/>
        </w:rPr>
        <w:t>po potrebi, upućuje stranke na ostvarenje drugih prava, osobito temeljem Zakona o zaštiti životinja, Zakona o veterinarstvu i Zakona o socijalnoj skrbi,</w:t>
      </w:r>
    </w:p>
    <w:p w14:paraId="06C3CFF6" w14:textId="77777777" w:rsidR="008610E8" w:rsidRDefault="008610E8" w:rsidP="008610E8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-20"/>
        <w:jc w:val="both"/>
      </w:pPr>
      <w:r>
        <w:t xml:space="preserve">sudjeluje u provedbi akcijskih planova vezanih uz zaštitu životinja i socijalno ugroženih skupina građana, </w:t>
      </w:r>
    </w:p>
    <w:p w14:paraId="210DD681" w14:textId="77777777" w:rsidR="008610E8" w:rsidRDefault="008610E8" w:rsidP="008610E8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-134"/>
        <w:jc w:val="both"/>
        <w:rPr>
          <w:color w:val="000000"/>
        </w:rPr>
      </w:pPr>
      <w:r>
        <w:rPr>
          <w:color w:val="000000"/>
        </w:rPr>
        <w:t>odobrava zahtjeve za isplatu za proračunske korisnike putem sustava lokalne riznice,</w:t>
      </w:r>
    </w:p>
    <w:p w14:paraId="2AEAC6F1" w14:textId="77777777" w:rsidR="008610E8" w:rsidRDefault="008610E8" w:rsidP="008610E8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-134"/>
        <w:jc w:val="both"/>
        <w:rPr>
          <w:color w:val="000000"/>
        </w:rPr>
      </w:pPr>
      <w:r>
        <w:rPr>
          <w:color w:val="000000"/>
        </w:rPr>
        <w:t>kontrolira račune neposredno kod proračunskog korisnika sukladno godišnjem planu kontrole.</w:t>
      </w:r>
    </w:p>
    <w:p w14:paraId="0BDEC83F" w14:textId="77777777" w:rsidR="008610E8" w:rsidRDefault="008610E8" w:rsidP="008610E8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-134"/>
        <w:jc w:val="both"/>
      </w:pPr>
      <w:r w:rsidRPr="008610E8">
        <w:rPr>
          <w:color w:val="000000"/>
        </w:rPr>
        <w:t>kontrolira namjensko trošenje donacija, pomoći subvencija i drugih transfera do krajnjeg korisnika sukladno godišnjem planu kontrole</w:t>
      </w:r>
      <w:r>
        <w:rPr>
          <w:color w:val="000000"/>
        </w:rPr>
        <w:t xml:space="preserve"> </w:t>
      </w:r>
      <w:r>
        <w:t>obavlja druge poslove koje mu povjeri pročelnik, pomoćnik pročelnika i voditelj Odsjeka.</w:t>
      </w:r>
    </w:p>
    <w:p w14:paraId="7CB4D14E" w14:textId="77777777" w:rsidR="00E045B6" w:rsidRPr="00B850F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Podaci o plaći:</w:t>
      </w:r>
    </w:p>
    <w:p w14:paraId="3FCE94EC" w14:textId="77777777" w:rsidR="00E045B6" w:rsidRPr="00B850F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>Podaci o plaći navedenog radnog mjesta propisani su Odlukom o koeficijentima za obračun plaće službenika i namještenika, Klasa: 023-01/10-01/1083, Urbroj: 2168/01-02-01-0235-10-4 od 24. rujna 2010. godin</w:t>
      </w:r>
      <w:r w:rsidR="00A27A8A"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>e i Odlukom o izmjeni i dopuni Odluke o koeficijentima za obračun plaće službenika i namještenika</w:t>
      </w:r>
      <w:r w:rsidR="00A27A8A" w:rsidRPr="00B850F9">
        <w:rPr>
          <w:color w:val="000000" w:themeColor="text1"/>
        </w:rPr>
        <w:t xml:space="preserve"> </w:t>
      </w:r>
      <w:r w:rsidR="00A27A8A"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Klasa: 023-01/13-01/1255, Urbroj: 2168/01-02-01-0243-13-3 od 12.prosinca 2013. </w:t>
      </w:r>
      <w:r w:rsidR="0088727E"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>g</w:t>
      </w:r>
      <w:r w:rsidR="00A27A8A"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odine. </w:t>
      </w:r>
      <w:r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>Slijedom toga</w:t>
      </w:r>
      <w:r w:rsidR="0088727E"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>, p</w:t>
      </w:r>
      <w:r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laću radnog mjesta </w:t>
      </w:r>
      <w:r w:rsidR="008610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savjetnik 1. </w:t>
      </w:r>
      <w:r w:rsidR="005248B5">
        <w:rPr>
          <w:rFonts w:ascii="Times New Roman" w:hAnsi="Times New Roman"/>
          <w:noProof/>
          <w:color w:val="000000" w:themeColor="text1"/>
          <w:sz w:val="24"/>
          <w:szCs w:val="24"/>
        </w:rPr>
        <w:t>z</w:t>
      </w:r>
      <w:r w:rsidR="008610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a zaštitu životinja, socijalna davanja i udruge </w:t>
      </w:r>
      <w:r w:rsidRPr="00B850F9">
        <w:rPr>
          <w:rFonts w:ascii="Times New Roman" w:hAnsi="Times New Roman"/>
          <w:noProof/>
          <w:color w:val="000000" w:themeColor="text1"/>
          <w:sz w:val="24"/>
          <w:szCs w:val="24"/>
        </w:rPr>
        <w:t>či</w:t>
      </w:r>
      <w:r w:rsidRPr="00B850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ni umnožak koeficijenta radnog mjesta </w:t>
      </w:r>
      <w:r w:rsidR="008610E8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49751A" w:rsidRPr="00B850F9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8610E8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49751A" w:rsidRPr="00B850F9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Pr="00B850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osnovice za izračun plaće (iznos osnovice je </w:t>
      </w:r>
      <w:r w:rsidR="00DE41BC" w:rsidRPr="00B850F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4.484,40 </w:t>
      </w:r>
      <w:r w:rsidRPr="00B850F9">
        <w:rPr>
          <w:rFonts w:ascii="Times New Roman" w:hAnsi="Times New Roman"/>
          <w:bCs/>
          <w:color w:val="000000" w:themeColor="text1"/>
          <w:sz w:val="24"/>
          <w:szCs w:val="24"/>
        </w:rPr>
        <w:t>kn, bruto) uvećan za 0,5 % za svaku navršenu godinu radnog staža.</w:t>
      </w:r>
    </w:p>
    <w:p w14:paraId="7333F7AD" w14:textId="77777777" w:rsidR="00E045B6" w:rsidRPr="00B850F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b/>
          <w:bCs/>
          <w:color w:val="000000" w:themeColor="text1"/>
          <w:sz w:val="24"/>
          <w:szCs w:val="24"/>
        </w:rPr>
        <w:t>Testiranje kandidata:</w:t>
      </w:r>
    </w:p>
    <w:p w14:paraId="2BB18ECD" w14:textId="77777777" w:rsidR="00E045B6" w:rsidRPr="00B850F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color w:val="000000" w:themeColor="text1"/>
          <w:sz w:val="24"/>
          <w:szCs w:val="24"/>
        </w:rPr>
        <w:t>Testiranje kandidata sastoji se od provjere znanja, sposobnosti i vještina bitnih za obavljanje poslova radnog mjesta na koje se kandidat prima-pismeni tekst.</w:t>
      </w:r>
    </w:p>
    <w:p w14:paraId="55C01820" w14:textId="77777777" w:rsidR="00E045B6" w:rsidRPr="00B850F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Pravni izvori za pripremanje kandidata za testiranje: </w:t>
      </w:r>
    </w:p>
    <w:p w14:paraId="456A72AB" w14:textId="77777777" w:rsidR="00E045B6" w:rsidRPr="00B850F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color w:val="000000" w:themeColor="text1"/>
          <w:sz w:val="24"/>
          <w:szCs w:val="24"/>
        </w:rPr>
        <w:lastRenderedPageBreak/>
        <w:t>Pitanja kojima se testira provjera znanja, sposobnosti i vještina bitnih za obavljanje poslova radnog mjesta na koje se kandidat prima temelje se na slijedećim propisima:</w:t>
      </w:r>
    </w:p>
    <w:p w14:paraId="1FBDEB4E" w14:textId="77777777" w:rsidR="008610E8" w:rsidRDefault="008610E8" w:rsidP="008610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Zakon o lokalnoj i područnoj (regionalnoj) samoupravi („Narodne novine“ broj 33/01,</w:t>
      </w:r>
    </w:p>
    <w:p w14:paraId="53F8D95D" w14:textId="77777777" w:rsidR="008610E8" w:rsidRDefault="008610E8" w:rsidP="008610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60/01-vjerodostojno tuma</w:t>
      </w:r>
      <w:r>
        <w:rPr>
          <w:rFonts w:ascii="Helv" w:hAnsi="Helv" w:cs="Helv"/>
          <w:color w:val="000000"/>
        </w:rPr>
        <w:t>č</w:t>
      </w:r>
      <w:r>
        <w:rPr>
          <w:color w:val="000000"/>
        </w:rPr>
        <w:t>enje, 129/05, 109/07, 125/08, 36/09, 150/11, 144/12 i 19/13-</w:t>
      </w:r>
    </w:p>
    <w:p w14:paraId="0CB7B050" w14:textId="77777777" w:rsidR="008610E8" w:rsidRDefault="008610E8" w:rsidP="008610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pročišćeni tekst, 137/15-ispravak)</w:t>
      </w:r>
    </w:p>
    <w:p w14:paraId="7DF39346" w14:textId="77777777" w:rsidR="008610E8" w:rsidRPr="008610E8" w:rsidRDefault="008610E8" w:rsidP="008610E8">
      <w:pPr>
        <w:autoSpaceDE w:val="0"/>
        <w:autoSpaceDN w:val="0"/>
        <w:adjustRightInd w:val="0"/>
        <w:jc w:val="both"/>
      </w:pPr>
      <w:r w:rsidRPr="008610E8">
        <w:rPr>
          <w:color w:val="000000"/>
        </w:rPr>
        <w:t xml:space="preserve">2. Zakon o socijalnoj skrbi NN </w:t>
      </w:r>
      <w:hyperlink r:id="rId5" w:history="1">
        <w:r w:rsidRPr="008610E8">
          <w:t>157/13</w:t>
        </w:r>
      </w:hyperlink>
      <w:r w:rsidRPr="008610E8">
        <w:t xml:space="preserve">, </w:t>
      </w:r>
      <w:hyperlink r:id="rId6" w:history="1">
        <w:r w:rsidRPr="008610E8">
          <w:t>152/14</w:t>
        </w:r>
      </w:hyperlink>
      <w:r w:rsidRPr="008610E8">
        <w:t xml:space="preserve">, </w:t>
      </w:r>
      <w:hyperlink r:id="rId7" w:history="1">
        <w:r w:rsidRPr="008610E8">
          <w:t>99/15</w:t>
        </w:r>
      </w:hyperlink>
      <w:r w:rsidRPr="008610E8">
        <w:t xml:space="preserve">, </w:t>
      </w:r>
      <w:hyperlink r:id="rId8" w:history="1">
        <w:r w:rsidRPr="008610E8">
          <w:t>52/16</w:t>
        </w:r>
      </w:hyperlink>
      <w:r w:rsidRPr="008610E8">
        <w:t xml:space="preserve">, </w:t>
      </w:r>
      <w:hyperlink r:id="rId9" w:history="1">
        <w:r w:rsidRPr="008610E8">
          <w:t>16/17</w:t>
        </w:r>
      </w:hyperlink>
      <w:r w:rsidRPr="008610E8">
        <w:t xml:space="preserve">, </w:t>
      </w:r>
      <w:hyperlink r:id="rId10" w:history="1">
        <w:r w:rsidRPr="008610E8">
          <w:t>130/17</w:t>
        </w:r>
      </w:hyperlink>
    </w:p>
    <w:p w14:paraId="0465D6B3" w14:textId="77777777" w:rsidR="008610E8" w:rsidRPr="008610E8" w:rsidRDefault="008610E8" w:rsidP="008610E8">
      <w:pPr>
        <w:autoSpaceDE w:val="0"/>
        <w:autoSpaceDN w:val="0"/>
        <w:adjustRightInd w:val="0"/>
        <w:jc w:val="both"/>
        <w:rPr>
          <w:color w:val="000000"/>
        </w:rPr>
      </w:pPr>
      <w:r w:rsidRPr="008610E8">
        <w:rPr>
          <w:color w:val="000000"/>
        </w:rPr>
        <w:t>3. Zakon o zaštiti životinja NN 102/17</w:t>
      </w:r>
    </w:p>
    <w:p w14:paraId="51EA44A7" w14:textId="77777777" w:rsidR="00E045B6" w:rsidRPr="00B850F9" w:rsidRDefault="00E045B6" w:rsidP="00E045B6">
      <w:pPr>
        <w:pStyle w:val="StyleBodyText2ArialLeft15cmHanging064cm"/>
        <w:numPr>
          <w:ilvl w:val="0"/>
          <w:numId w:val="0"/>
        </w:numPr>
        <w:tabs>
          <w:tab w:val="left" w:pos="360"/>
          <w:tab w:val="left" w:pos="720"/>
        </w:tabs>
        <w:ind w:firstLine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b/>
          <w:color w:val="000000" w:themeColor="text1"/>
          <w:sz w:val="24"/>
          <w:szCs w:val="24"/>
        </w:rPr>
        <w:t>Pravila testiranja</w:t>
      </w:r>
    </w:p>
    <w:p w14:paraId="23589A47" w14:textId="77777777" w:rsidR="00E045B6" w:rsidRPr="00B850F9" w:rsidRDefault="00E045B6" w:rsidP="008610E8">
      <w:pPr>
        <w:pStyle w:val="StyleBodyText2ArialLeft15cmHanging064cm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850F9">
        <w:rPr>
          <w:rFonts w:ascii="Times New Roman" w:hAnsi="Times New Roman"/>
          <w:color w:val="000000" w:themeColor="text1"/>
          <w:sz w:val="24"/>
          <w:szCs w:val="24"/>
        </w:rPr>
        <w:t>Po dolasku na testiraje od kandidata će biti zatražena odgovarajuća identifikacijska isprava radi utvrđivanja identiteta.</w:t>
      </w:r>
    </w:p>
    <w:p w14:paraId="192366F1" w14:textId="77777777" w:rsidR="00E045B6" w:rsidRPr="00B850F9" w:rsidRDefault="00E045B6" w:rsidP="008610E8">
      <w:pPr>
        <w:numPr>
          <w:ilvl w:val="0"/>
          <w:numId w:val="3"/>
        </w:numPr>
        <w:jc w:val="both"/>
        <w:rPr>
          <w:color w:val="000000" w:themeColor="text1"/>
        </w:rPr>
      </w:pPr>
      <w:r w:rsidRPr="00B850F9">
        <w:rPr>
          <w:color w:val="000000" w:themeColor="text1"/>
        </w:rPr>
        <w:t>Za vrijeme provjere znanja i sposobnosti nije dopušteno: korištenje literature, bilježaka, mobitela, napuštati prostorije u kojoj se obavlja provjera, razgovarati ili na</w:t>
      </w:r>
    </w:p>
    <w:p w14:paraId="7E30FA86" w14:textId="77777777" w:rsidR="00E045B6" w:rsidRPr="00B850F9" w:rsidRDefault="00E045B6" w:rsidP="008610E8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     drugi način ometati ostale kandidate.</w:t>
      </w:r>
    </w:p>
    <w:p w14:paraId="3807D1C1" w14:textId="77777777" w:rsidR="00E045B6" w:rsidRPr="00B850F9" w:rsidRDefault="00E045B6" w:rsidP="008610E8">
      <w:pPr>
        <w:numPr>
          <w:ilvl w:val="0"/>
          <w:numId w:val="3"/>
        </w:numPr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Nakon uvodnih radnji, započinje testiranje na način da će kandidatima biti podijeljena </w:t>
      </w:r>
    </w:p>
    <w:p w14:paraId="1F06A252" w14:textId="77777777" w:rsidR="00E045B6" w:rsidRPr="00B850F9" w:rsidRDefault="00E045B6" w:rsidP="008610E8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      pitanja za provjeru znanja i sposobnosti za obavljanje poslova radnog mjesta za kojeg    </w:t>
      </w:r>
    </w:p>
    <w:p w14:paraId="5C8DE905" w14:textId="77777777" w:rsidR="00E045B6" w:rsidRPr="00B850F9" w:rsidRDefault="00E045B6" w:rsidP="008610E8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      se kandidat prijavio.</w:t>
      </w:r>
    </w:p>
    <w:p w14:paraId="4B315EB9" w14:textId="77777777" w:rsidR="00E045B6" w:rsidRPr="00B850F9" w:rsidRDefault="00E045B6" w:rsidP="00E045B6">
      <w:pPr>
        <w:numPr>
          <w:ilvl w:val="0"/>
          <w:numId w:val="3"/>
        </w:numPr>
        <w:rPr>
          <w:color w:val="000000" w:themeColor="text1"/>
        </w:rPr>
      </w:pPr>
      <w:r w:rsidRPr="00B850F9">
        <w:rPr>
          <w:color w:val="000000" w:themeColor="text1"/>
        </w:rPr>
        <w:t xml:space="preserve">Za provjeru znanja i sposobnosti testiranjem dodjeljuje se od 1 do 10 bodova. </w:t>
      </w:r>
    </w:p>
    <w:p w14:paraId="400BCD5A" w14:textId="77777777" w:rsidR="00E045B6" w:rsidRPr="00B850F9" w:rsidRDefault="00E045B6" w:rsidP="008610E8">
      <w:pPr>
        <w:numPr>
          <w:ilvl w:val="0"/>
          <w:numId w:val="3"/>
        </w:numPr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Smatra se da je kandidat položio test  ako je od provjere navedene u točki 4. postigao </w:t>
      </w:r>
    </w:p>
    <w:p w14:paraId="1FD1CFFC" w14:textId="77777777" w:rsidR="00E045B6" w:rsidRPr="00B850F9" w:rsidRDefault="00E045B6" w:rsidP="008610E8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      najmanje 50% ukupnog broja bodova.  </w:t>
      </w:r>
    </w:p>
    <w:p w14:paraId="4F24CBAA" w14:textId="77777777" w:rsidR="00E045B6" w:rsidRPr="00B850F9" w:rsidRDefault="00E045B6" w:rsidP="00EB07EA">
      <w:pPr>
        <w:ind w:left="360"/>
        <w:rPr>
          <w:b/>
          <w:color w:val="000000" w:themeColor="text1"/>
        </w:rPr>
      </w:pPr>
      <w:r w:rsidRPr="00B850F9">
        <w:rPr>
          <w:color w:val="000000" w:themeColor="text1"/>
        </w:rPr>
        <w:t xml:space="preserve">  </w:t>
      </w:r>
      <w:r w:rsidRPr="00B850F9">
        <w:rPr>
          <w:b/>
          <w:color w:val="000000" w:themeColor="text1"/>
        </w:rPr>
        <w:t>B)  INTERVJU</w:t>
      </w:r>
    </w:p>
    <w:p w14:paraId="51A61FC9" w14:textId="77777777" w:rsidR="00E045B6" w:rsidRPr="00B850F9" w:rsidRDefault="00E045B6" w:rsidP="00E045B6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1. Razgovor (intervju) se provodi samo s onim kandidatima koji su ostvarili 50% i više </w:t>
      </w:r>
    </w:p>
    <w:p w14:paraId="6D1E327D" w14:textId="77777777" w:rsidR="00E045B6" w:rsidRPr="00B850F9" w:rsidRDefault="00E045B6" w:rsidP="00E045B6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    broja bodova na testiranju.</w:t>
      </w:r>
    </w:p>
    <w:p w14:paraId="3A83E8C3" w14:textId="77777777" w:rsidR="00E045B6" w:rsidRPr="00B850F9" w:rsidRDefault="008610E8" w:rsidP="008610E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2. </w:t>
      </w:r>
      <w:r w:rsidR="00E045B6" w:rsidRPr="00B850F9">
        <w:rPr>
          <w:color w:val="000000" w:themeColor="text1"/>
        </w:rPr>
        <w:t>Povjerenstvo za provedbu javnog natječaja kroz razgovor (intervju) sa kandidatima</w:t>
      </w:r>
    </w:p>
    <w:p w14:paraId="71854459" w14:textId="77777777" w:rsidR="00E045B6" w:rsidRPr="00B850F9" w:rsidRDefault="008610E8" w:rsidP="00E045B6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045B6" w:rsidRPr="00B850F9">
        <w:rPr>
          <w:color w:val="000000" w:themeColor="text1"/>
        </w:rPr>
        <w:t xml:space="preserve">   utvrđuje interese, ciljeve i motivaciju kandidata za rad. Rezultati razgovora </w:t>
      </w:r>
    </w:p>
    <w:p w14:paraId="209BFD6D" w14:textId="77777777" w:rsidR="00E045B6" w:rsidRPr="00B850F9" w:rsidRDefault="008610E8" w:rsidP="00E045B6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E045B6" w:rsidRPr="00B850F9">
        <w:rPr>
          <w:color w:val="000000" w:themeColor="text1"/>
        </w:rPr>
        <w:t xml:space="preserve">  (intervjua) boduju se od 1 do 10 bodova.</w:t>
      </w:r>
    </w:p>
    <w:p w14:paraId="1B55F213" w14:textId="77777777" w:rsidR="00E045B6" w:rsidRPr="00B850F9" w:rsidRDefault="00E045B6" w:rsidP="00E045B6">
      <w:pPr>
        <w:ind w:firstLine="360"/>
        <w:rPr>
          <w:color w:val="000000" w:themeColor="text1"/>
        </w:rPr>
      </w:pPr>
      <w:r w:rsidRPr="00B850F9">
        <w:rPr>
          <w:color w:val="000000" w:themeColor="text1"/>
        </w:rPr>
        <w:t>Ukupan broj bodova kojeg  kandidat može postići testiranjem i intervjuom je 20.</w:t>
      </w:r>
    </w:p>
    <w:p w14:paraId="4B349493" w14:textId="77777777" w:rsidR="00E045B6" w:rsidRPr="00B850F9" w:rsidRDefault="00E045B6" w:rsidP="00E045B6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 xml:space="preserve">Nakon provedenog postupka, Povjerenstvo za provedbu javnog natječaja utvrđuje rang listu kandidata prema ukupnom broju ostvarenih bodova, te dostavlja </w:t>
      </w:r>
      <w:r w:rsidR="001C4D5E" w:rsidRPr="00B850F9">
        <w:rPr>
          <w:color w:val="000000" w:themeColor="text1"/>
        </w:rPr>
        <w:t>osob</w:t>
      </w:r>
      <w:r w:rsidR="001C4D5E">
        <w:rPr>
          <w:color w:val="000000" w:themeColor="text1"/>
        </w:rPr>
        <w:t>i</w:t>
      </w:r>
      <w:r w:rsidR="001C4D5E" w:rsidRPr="00B850F9">
        <w:rPr>
          <w:color w:val="000000" w:themeColor="text1"/>
        </w:rPr>
        <w:t xml:space="preserve"> ovlašten</w:t>
      </w:r>
      <w:r w:rsidR="001C4D5E">
        <w:rPr>
          <w:color w:val="000000" w:themeColor="text1"/>
        </w:rPr>
        <w:t>oj</w:t>
      </w:r>
      <w:r w:rsidR="001C4D5E" w:rsidRPr="00B850F9">
        <w:rPr>
          <w:color w:val="000000" w:themeColor="text1"/>
        </w:rPr>
        <w:t xml:space="preserve"> za obavljanje poslova </w:t>
      </w:r>
      <w:r w:rsidRPr="00B850F9">
        <w:rPr>
          <w:color w:val="000000" w:themeColor="text1"/>
        </w:rPr>
        <w:t>pročelni</w:t>
      </w:r>
      <w:r w:rsidR="001C4D5E">
        <w:rPr>
          <w:color w:val="000000" w:themeColor="text1"/>
        </w:rPr>
        <w:t>ce</w:t>
      </w:r>
      <w:r w:rsidRPr="00B850F9">
        <w:rPr>
          <w:color w:val="000000" w:themeColor="text1"/>
        </w:rPr>
        <w:t xml:space="preserve"> Upravnog odjela za </w:t>
      </w:r>
      <w:r w:rsidR="008610E8">
        <w:rPr>
          <w:color w:val="000000" w:themeColor="text1"/>
        </w:rPr>
        <w:t>društvene djelatnosti</w:t>
      </w:r>
      <w:r w:rsidR="00BF1C13" w:rsidRPr="00B850F9">
        <w:rPr>
          <w:color w:val="000000" w:themeColor="text1"/>
        </w:rPr>
        <w:t xml:space="preserve"> </w:t>
      </w:r>
      <w:r w:rsidR="0006360D" w:rsidRPr="00B850F9">
        <w:rPr>
          <w:color w:val="000000" w:themeColor="text1"/>
        </w:rPr>
        <w:t xml:space="preserve">Grada </w:t>
      </w:r>
      <w:r w:rsidRPr="00B850F9">
        <w:rPr>
          <w:color w:val="000000" w:themeColor="text1"/>
        </w:rPr>
        <w:t>Pul</w:t>
      </w:r>
      <w:r w:rsidR="0006360D" w:rsidRPr="00B850F9">
        <w:rPr>
          <w:color w:val="000000" w:themeColor="text1"/>
        </w:rPr>
        <w:t>a-Pola</w:t>
      </w:r>
      <w:r w:rsidRPr="00B850F9">
        <w:rPr>
          <w:color w:val="000000" w:themeColor="text1"/>
        </w:rPr>
        <w:t xml:space="preserve"> rang listu kandidata i izvješće o provedenom postupku koje potpisuju svi članovi Povjerenstva za provedbu javnog natječaja.</w:t>
      </w:r>
    </w:p>
    <w:p w14:paraId="3B34A4CB" w14:textId="77777777" w:rsidR="00E045B6" w:rsidRPr="00B850F9" w:rsidRDefault="00E045B6" w:rsidP="00E045B6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>Izabrani kandidat, po obavijesti o izboru, dostavlja uvjerenje o zdravstvenoj sposobnosti za obavljanje poslova radnog mjesta, a prije donošenja Rješenja o prijamu u službu.</w:t>
      </w:r>
    </w:p>
    <w:p w14:paraId="6DA2CDF8" w14:textId="77777777" w:rsidR="00E045B6" w:rsidRPr="00B850F9" w:rsidRDefault="001C4D5E" w:rsidP="00E045B6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Pr="00B850F9">
        <w:rPr>
          <w:color w:val="000000" w:themeColor="text1"/>
        </w:rPr>
        <w:t xml:space="preserve">soba ovlaštena za obavljanje poslova pročelnice </w:t>
      </w:r>
      <w:r w:rsidR="00E045B6" w:rsidRPr="00B850F9">
        <w:rPr>
          <w:color w:val="000000" w:themeColor="text1"/>
        </w:rPr>
        <w:t xml:space="preserve">Upravnog odjela za </w:t>
      </w:r>
      <w:r w:rsidR="008610E8">
        <w:rPr>
          <w:color w:val="000000" w:themeColor="text1"/>
        </w:rPr>
        <w:t xml:space="preserve">društvene djelatnosti </w:t>
      </w:r>
      <w:r w:rsidR="00E045B6" w:rsidRPr="00B850F9">
        <w:rPr>
          <w:color w:val="000000" w:themeColor="text1"/>
        </w:rPr>
        <w:t xml:space="preserve">donosi Rješenje o </w:t>
      </w:r>
      <w:proofErr w:type="spellStart"/>
      <w:r w:rsidR="00E045B6" w:rsidRPr="00B850F9">
        <w:rPr>
          <w:color w:val="000000" w:themeColor="text1"/>
        </w:rPr>
        <w:t>prijamu</w:t>
      </w:r>
      <w:proofErr w:type="spellEnd"/>
      <w:r w:rsidR="00E045B6" w:rsidRPr="00B850F9">
        <w:rPr>
          <w:color w:val="000000" w:themeColor="text1"/>
        </w:rPr>
        <w:t xml:space="preserve"> u službu koje se dostavlja svim kandidatima koji su se prijavili na </w:t>
      </w:r>
      <w:r>
        <w:rPr>
          <w:color w:val="000000" w:themeColor="text1"/>
        </w:rPr>
        <w:t xml:space="preserve">javni </w:t>
      </w:r>
      <w:r w:rsidR="00E045B6" w:rsidRPr="00B850F9">
        <w:rPr>
          <w:color w:val="000000" w:themeColor="text1"/>
        </w:rPr>
        <w:t>natječaj.</w:t>
      </w:r>
    </w:p>
    <w:p w14:paraId="19C49536" w14:textId="77777777" w:rsidR="00E045B6" w:rsidRPr="00B850F9" w:rsidRDefault="00E045B6" w:rsidP="00E045B6">
      <w:pPr>
        <w:ind w:left="360"/>
        <w:jc w:val="both"/>
        <w:rPr>
          <w:color w:val="000000" w:themeColor="text1"/>
        </w:rPr>
      </w:pPr>
      <w:r w:rsidRPr="00B850F9">
        <w:rPr>
          <w:color w:val="000000" w:themeColor="text1"/>
        </w:rPr>
        <w:t>Kandidat koji nije zadovoljan Rješenjem o prijamu u službu izabranog kandidata, ima pravo podnijeti žalbu gradonačelniku Grada Pul</w:t>
      </w:r>
      <w:r w:rsidR="0006360D" w:rsidRPr="00B850F9">
        <w:rPr>
          <w:color w:val="000000" w:themeColor="text1"/>
        </w:rPr>
        <w:t>a-Pola</w:t>
      </w:r>
      <w:r w:rsidRPr="00B850F9">
        <w:rPr>
          <w:color w:val="000000" w:themeColor="text1"/>
        </w:rPr>
        <w:t xml:space="preserve"> u roku od 15 dana od dana dostave rješenja.</w:t>
      </w:r>
    </w:p>
    <w:p w14:paraId="259D04AC" w14:textId="77777777" w:rsidR="00E045B6" w:rsidRPr="00B850F9" w:rsidRDefault="00E045B6" w:rsidP="00E045B6">
      <w:pPr>
        <w:ind w:left="360"/>
        <w:jc w:val="both"/>
        <w:rPr>
          <w:color w:val="000000" w:themeColor="text1"/>
        </w:rPr>
      </w:pPr>
    </w:p>
    <w:p w14:paraId="13C8FBFA" w14:textId="77777777" w:rsidR="00B07599" w:rsidRPr="00B850F9" w:rsidRDefault="00E045B6" w:rsidP="00B07599">
      <w:pPr>
        <w:jc w:val="center"/>
        <w:rPr>
          <w:b/>
          <w:color w:val="000000" w:themeColor="text1"/>
        </w:rPr>
      </w:pPr>
      <w:r w:rsidRPr="00B850F9">
        <w:rPr>
          <w:b/>
          <w:color w:val="000000" w:themeColor="text1"/>
          <w:lang w:val="pt-BR"/>
        </w:rPr>
        <w:t>POZIV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ZA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TESTIRANJE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BITI</w:t>
      </w:r>
      <w:r w:rsidRPr="00B850F9">
        <w:rPr>
          <w:b/>
          <w:color w:val="000000" w:themeColor="text1"/>
        </w:rPr>
        <w:t xml:space="preserve"> Ć</w:t>
      </w:r>
      <w:r w:rsidRPr="00B850F9">
        <w:rPr>
          <w:b/>
          <w:color w:val="000000" w:themeColor="text1"/>
          <w:lang w:val="pt-BR"/>
        </w:rPr>
        <w:t>E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OBJAVLJEN</w:t>
      </w:r>
      <w:r w:rsidRPr="00B850F9">
        <w:rPr>
          <w:b/>
          <w:color w:val="000000" w:themeColor="text1"/>
        </w:rPr>
        <w:t xml:space="preserve">, </w:t>
      </w:r>
      <w:r w:rsidRPr="00B850F9">
        <w:rPr>
          <w:b/>
          <w:color w:val="000000" w:themeColor="text1"/>
          <w:lang w:val="pt-BR"/>
        </w:rPr>
        <w:t>NAJMANJE</w:t>
      </w:r>
      <w:r w:rsidRPr="00B850F9">
        <w:rPr>
          <w:b/>
          <w:color w:val="000000" w:themeColor="text1"/>
        </w:rPr>
        <w:t xml:space="preserve"> 5 </w:t>
      </w:r>
      <w:r w:rsidRPr="00B850F9">
        <w:rPr>
          <w:b/>
          <w:color w:val="000000" w:themeColor="text1"/>
          <w:lang w:val="pt-BR"/>
        </w:rPr>
        <w:t>DANA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PRIJE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TESTIRANJA</w:t>
      </w:r>
      <w:r w:rsidRPr="00B850F9">
        <w:rPr>
          <w:b/>
          <w:color w:val="000000" w:themeColor="text1"/>
        </w:rPr>
        <w:t xml:space="preserve">, </w:t>
      </w:r>
      <w:r w:rsidRPr="00B850F9">
        <w:rPr>
          <w:b/>
          <w:color w:val="000000" w:themeColor="text1"/>
          <w:lang w:val="pt-BR"/>
        </w:rPr>
        <w:t>NA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WEB</w:t>
      </w:r>
      <w:r w:rsidRPr="00B850F9">
        <w:rPr>
          <w:b/>
          <w:color w:val="000000" w:themeColor="text1"/>
        </w:rPr>
        <w:t>-</w:t>
      </w:r>
      <w:r w:rsidRPr="00B850F9">
        <w:rPr>
          <w:b/>
          <w:color w:val="000000" w:themeColor="text1"/>
          <w:lang w:val="pt-BR"/>
        </w:rPr>
        <w:t>STRANICI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GRADA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PULE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I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NA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OGLASNOJ</w:t>
      </w:r>
      <w:r w:rsidRPr="00B850F9">
        <w:rPr>
          <w:b/>
          <w:color w:val="000000" w:themeColor="text1"/>
        </w:rPr>
        <w:t xml:space="preserve"> </w:t>
      </w:r>
      <w:r w:rsidRPr="00B850F9">
        <w:rPr>
          <w:b/>
          <w:color w:val="000000" w:themeColor="text1"/>
          <w:lang w:val="pt-BR"/>
        </w:rPr>
        <w:t>PLO</w:t>
      </w:r>
      <w:r w:rsidRPr="00B850F9">
        <w:rPr>
          <w:b/>
          <w:color w:val="000000" w:themeColor="text1"/>
        </w:rPr>
        <w:t>Č</w:t>
      </w:r>
      <w:r w:rsidRPr="00B850F9">
        <w:rPr>
          <w:b/>
          <w:color w:val="000000" w:themeColor="text1"/>
          <w:lang w:val="pt-BR"/>
        </w:rPr>
        <w:t>I</w:t>
      </w:r>
      <w:r w:rsidRPr="00B850F9">
        <w:rPr>
          <w:b/>
          <w:color w:val="000000" w:themeColor="text1"/>
        </w:rPr>
        <w:t xml:space="preserve"> UPRAVNOG ODJELA ZA </w:t>
      </w:r>
      <w:r w:rsidR="008610E8">
        <w:rPr>
          <w:b/>
          <w:color w:val="000000" w:themeColor="text1"/>
        </w:rPr>
        <w:t>DRUŠTVENE DJELATNOSTI</w:t>
      </w:r>
    </w:p>
    <w:p w14:paraId="20774FDB" w14:textId="77777777" w:rsidR="00E045B6" w:rsidRPr="00B850F9" w:rsidRDefault="00E045B6" w:rsidP="00E045B6">
      <w:pPr>
        <w:ind w:left="360"/>
        <w:jc w:val="both"/>
        <w:rPr>
          <w:color w:val="000000" w:themeColor="text1"/>
        </w:rPr>
      </w:pPr>
    </w:p>
    <w:p w14:paraId="1C3F5A94" w14:textId="77777777" w:rsidR="00E045B6" w:rsidRPr="00B850F9" w:rsidRDefault="00E045B6" w:rsidP="00E045B6">
      <w:pPr>
        <w:ind w:left="360"/>
        <w:rPr>
          <w:color w:val="000000" w:themeColor="text1"/>
        </w:rPr>
      </w:pPr>
      <w:r w:rsidRPr="00B850F9">
        <w:rPr>
          <w:color w:val="000000" w:themeColor="text1"/>
        </w:rPr>
        <w:t xml:space="preserve"> </w:t>
      </w:r>
    </w:p>
    <w:p w14:paraId="4582A752" w14:textId="77777777" w:rsidR="00E045B6" w:rsidRPr="00B850F9" w:rsidRDefault="00E045B6" w:rsidP="00E045B6">
      <w:pPr>
        <w:pStyle w:val="StyleBodyText2ArialLeft15cmHanging064cm"/>
        <w:numPr>
          <w:ilvl w:val="0"/>
          <w:numId w:val="0"/>
        </w:numPr>
        <w:ind w:left="1135" w:hanging="284"/>
        <w:rPr>
          <w:rFonts w:ascii="Times New Roman" w:hAnsi="Times New Roman"/>
          <w:color w:val="000000" w:themeColor="text1"/>
          <w:sz w:val="24"/>
          <w:szCs w:val="24"/>
        </w:rPr>
      </w:pPr>
    </w:p>
    <w:p w14:paraId="4059E089" w14:textId="77777777" w:rsidR="00E045B6" w:rsidRPr="00B850F9" w:rsidRDefault="00E045B6" w:rsidP="00E045B6">
      <w:pPr>
        <w:pStyle w:val="StyleBodyText2ArialLeft15cmHanging064cm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</w:p>
    <w:p w14:paraId="5307C940" w14:textId="77777777" w:rsidR="00E045B6" w:rsidRPr="00B850F9" w:rsidRDefault="00E045B6" w:rsidP="00E045B6">
      <w:pPr>
        <w:rPr>
          <w:b/>
          <w:color w:val="000000" w:themeColor="text1"/>
        </w:rPr>
      </w:pPr>
      <w:r w:rsidRPr="00B850F9">
        <w:rPr>
          <w:b/>
          <w:color w:val="000000" w:themeColor="text1"/>
        </w:rPr>
        <w:t xml:space="preserve">                                                        GRAD PULA-POLA</w:t>
      </w:r>
    </w:p>
    <w:p w14:paraId="6CC08226" w14:textId="77777777" w:rsidR="00E045B6" w:rsidRPr="00B850F9" w:rsidRDefault="00B07599" w:rsidP="00E045B6">
      <w:pPr>
        <w:jc w:val="center"/>
        <w:rPr>
          <w:b/>
          <w:color w:val="000000" w:themeColor="text1"/>
          <w:lang w:val="pt-BR"/>
        </w:rPr>
      </w:pPr>
      <w:r w:rsidRPr="00B850F9">
        <w:rPr>
          <w:b/>
          <w:color w:val="000000" w:themeColor="text1"/>
        </w:rPr>
        <w:t xml:space="preserve">UPRAVNI ODJEL ZA </w:t>
      </w:r>
      <w:r w:rsidR="008610E8">
        <w:rPr>
          <w:b/>
          <w:color w:val="000000" w:themeColor="text1"/>
        </w:rPr>
        <w:t>DRUŠTVENE DJELATNOSTI</w:t>
      </w:r>
    </w:p>
    <w:p w14:paraId="304DED35" w14:textId="77777777" w:rsidR="00E045B6" w:rsidRPr="00B850F9" w:rsidRDefault="00E045B6">
      <w:pPr>
        <w:rPr>
          <w:color w:val="000000" w:themeColor="text1"/>
        </w:rPr>
      </w:pPr>
    </w:p>
    <w:sectPr w:rsidR="00E045B6" w:rsidRPr="00B850F9" w:rsidSect="0015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A9D"/>
    <w:multiLevelType w:val="hybridMultilevel"/>
    <w:tmpl w:val="D3365F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51BEA"/>
    <w:multiLevelType w:val="hybridMultilevel"/>
    <w:tmpl w:val="D5A6EEF2"/>
    <w:lvl w:ilvl="0" w:tplc="D9D2F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45F0A"/>
    <w:multiLevelType w:val="hybridMultilevel"/>
    <w:tmpl w:val="61CAE3E2"/>
    <w:lvl w:ilvl="0" w:tplc="83305B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1429"/>
    <w:multiLevelType w:val="hybridMultilevel"/>
    <w:tmpl w:val="EBC68820"/>
    <w:lvl w:ilvl="0" w:tplc="42369FDA">
      <w:start w:val="1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EB5675"/>
    <w:multiLevelType w:val="hybridMultilevel"/>
    <w:tmpl w:val="2F680524"/>
    <w:lvl w:ilvl="0" w:tplc="79B217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76F49"/>
    <w:multiLevelType w:val="hybridMultilevel"/>
    <w:tmpl w:val="AB4AE622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B5D29"/>
    <w:multiLevelType w:val="hybridMultilevel"/>
    <w:tmpl w:val="966C5818"/>
    <w:lvl w:ilvl="0" w:tplc="79B217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C1312"/>
    <w:multiLevelType w:val="hybridMultilevel"/>
    <w:tmpl w:val="A2BC724A"/>
    <w:lvl w:ilvl="0" w:tplc="0CAC60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81492"/>
    <w:multiLevelType w:val="hybridMultilevel"/>
    <w:tmpl w:val="A37A20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826A2"/>
    <w:multiLevelType w:val="hybridMultilevel"/>
    <w:tmpl w:val="DD546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D6642"/>
    <w:multiLevelType w:val="hybridMultilevel"/>
    <w:tmpl w:val="25A0E2F2"/>
    <w:lvl w:ilvl="0" w:tplc="F6E453D4">
      <w:start w:val="1"/>
      <w:numFmt w:val="bullet"/>
      <w:pStyle w:val="StyleBodyText2ArialLeft15cmHanging064cm"/>
      <w:lvlText w:val=""/>
      <w:lvlJc w:val="left"/>
      <w:pPr>
        <w:tabs>
          <w:tab w:val="num" w:pos="5144"/>
        </w:tabs>
        <w:ind w:left="5144" w:hanging="284"/>
      </w:pPr>
      <w:rPr>
        <w:rFonts w:ascii="Symbol" w:hAnsi="Symbol" w:hint="default"/>
        <w:color w:val="auto"/>
      </w:rPr>
    </w:lvl>
    <w:lvl w:ilvl="1" w:tplc="1278C1C6">
      <w:start w:val="1"/>
      <w:numFmt w:val="bullet"/>
      <w:lvlText w:val="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16"/>
      </w:rPr>
    </w:lvl>
    <w:lvl w:ilvl="2" w:tplc="9B34821E">
      <w:numFmt w:val="bullet"/>
      <w:lvlText w:val="-"/>
      <w:lvlJc w:val="left"/>
      <w:pPr>
        <w:tabs>
          <w:tab w:val="num" w:pos="3086"/>
        </w:tabs>
        <w:ind w:left="3086" w:hanging="43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C1126B5"/>
    <w:multiLevelType w:val="hybridMultilevel"/>
    <w:tmpl w:val="AFCA8F0A"/>
    <w:lvl w:ilvl="0" w:tplc="024A2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31386"/>
    <w:multiLevelType w:val="hybridMultilevel"/>
    <w:tmpl w:val="6D62E5F6"/>
    <w:lvl w:ilvl="0" w:tplc="0CAC60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153ACB"/>
    <w:multiLevelType w:val="hybridMultilevel"/>
    <w:tmpl w:val="607A86D6"/>
    <w:lvl w:ilvl="0" w:tplc="D9D2F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A291E"/>
    <w:multiLevelType w:val="hybridMultilevel"/>
    <w:tmpl w:val="0A5CE39C"/>
    <w:lvl w:ilvl="0" w:tplc="2B2232D4">
      <w:start w:val="3"/>
      <w:numFmt w:val="bullet"/>
      <w:lvlText w:val="-"/>
      <w:lvlJc w:val="left"/>
      <w:pPr>
        <w:tabs>
          <w:tab w:val="num" w:pos="1196"/>
        </w:tabs>
        <w:ind w:left="119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3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6"/>
    <w:rsid w:val="00042D5F"/>
    <w:rsid w:val="00043850"/>
    <w:rsid w:val="0006360D"/>
    <w:rsid w:val="00107529"/>
    <w:rsid w:val="001539FF"/>
    <w:rsid w:val="00177FC5"/>
    <w:rsid w:val="001B1F19"/>
    <w:rsid w:val="001C4D5E"/>
    <w:rsid w:val="001D6C4C"/>
    <w:rsid w:val="002427E0"/>
    <w:rsid w:val="00274029"/>
    <w:rsid w:val="00344D20"/>
    <w:rsid w:val="0049751A"/>
    <w:rsid w:val="004A2ACA"/>
    <w:rsid w:val="00522F59"/>
    <w:rsid w:val="005248B5"/>
    <w:rsid w:val="00580A89"/>
    <w:rsid w:val="005C0D6F"/>
    <w:rsid w:val="005C2AB8"/>
    <w:rsid w:val="005D44D0"/>
    <w:rsid w:val="00723E73"/>
    <w:rsid w:val="007E47AF"/>
    <w:rsid w:val="00801B3E"/>
    <w:rsid w:val="008555FF"/>
    <w:rsid w:val="008610E8"/>
    <w:rsid w:val="0088727E"/>
    <w:rsid w:val="008B024F"/>
    <w:rsid w:val="008B048A"/>
    <w:rsid w:val="008D510A"/>
    <w:rsid w:val="00912DF5"/>
    <w:rsid w:val="00A24DF0"/>
    <w:rsid w:val="00A27A8A"/>
    <w:rsid w:val="00AF1E74"/>
    <w:rsid w:val="00B07599"/>
    <w:rsid w:val="00B52CCB"/>
    <w:rsid w:val="00B850F9"/>
    <w:rsid w:val="00BF1C13"/>
    <w:rsid w:val="00DD36C4"/>
    <w:rsid w:val="00DE41BC"/>
    <w:rsid w:val="00E045B6"/>
    <w:rsid w:val="00E93B39"/>
    <w:rsid w:val="00EA532C"/>
    <w:rsid w:val="00E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7D291"/>
  <w15:docId w15:val="{249E2185-6BF4-44EE-AE86-6B990452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dyText2ArialLeft15cmHanging064cm">
    <w:name w:val="Style Body Text 2 + Arial Left:  15 cm Hanging:  064 cm"/>
    <w:basedOn w:val="BodyText2"/>
    <w:rsid w:val="00E045B6"/>
    <w:pPr>
      <w:numPr>
        <w:numId w:val="1"/>
      </w:numPr>
      <w:tabs>
        <w:tab w:val="clear" w:pos="5144"/>
        <w:tab w:val="num" w:pos="1004"/>
      </w:tabs>
      <w:spacing w:after="0" w:line="240" w:lineRule="auto"/>
      <w:ind w:left="1135"/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E045B6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9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68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127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16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.hr/cms.htm?id=1675" TargetMode="External"/><Relationship Id="rId10" Type="http://schemas.openxmlformats.org/officeDocument/2006/relationships/hyperlink" Target="https://www.zakon.hr/cms.htm?id=26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7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PULA</vt:lpstr>
    </vt:vector>
  </TitlesOfParts>
  <Company>.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Slavica Jelovac</dc:creator>
  <cp:lastModifiedBy>Mošnja Mirna</cp:lastModifiedBy>
  <cp:revision>2</cp:revision>
  <dcterms:created xsi:type="dcterms:W3CDTF">2019-06-17T10:40:00Z</dcterms:created>
  <dcterms:modified xsi:type="dcterms:W3CDTF">2019-06-17T10:40:00Z</dcterms:modified>
</cp:coreProperties>
</file>