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1"/>
        <w:gridCol w:w="10266"/>
      </w:tblGrid>
      <w:tr w:rsidR="00C75D5C" w:rsidTr="00B06FE1">
        <w:trPr>
          <w:trHeight w:val="1690"/>
        </w:trPr>
        <w:tc>
          <w:tcPr>
            <w:tcW w:w="14567" w:type="dxa"/>
            <w:gridSpan w:val="2"/>
            <w:tcBorders>
              <w:bottom w:val="single" w:sz="4" w:space="0" w:color="365F91"/>
            </w:tcBorders>
            <w:shd w:val="clear" w:color="auto" w:fill="B8CCE4"/>
            <w:vAlign w:val="center"/>
          </w:tcPr>
          <w:p w:rsidR="000A553A" w:rsidRPr="00554CCE" w:rsidRDefault="00460ABB" w:rsidP="000A553A">
            <w:pPr>
              <w:spacing w:after="0" w:line="240" w:lineRule="auto"/>
              <w:jc w:val="center"/>
              <w:rPr>
                <w:rFonts w:eastAsia="Times New Roman" w:cs="Times New Roman"/>
                <w:b/>
                <w:bCs/>
                <w:szCs w:val="24"/>
                <w:lang w:eastAsia="zh-CN"/>
              </w:rPr>
            </w:pPr>
            <w:r w:rsidRPr="00554CCE">
              <w:rPr>
                <w:rFonts w:eastAsia="Times New Roman" w:cs="Times New Roman"/>
                <w:b/>
                <w:bCs/>
                <w:szCs w:val="24"/>
                <w:lang w:eastAsia="zh-CN"/>
              </w:rPr>
              <w:t>IZVJEŠĆE O SAVJETOVANJU S JAVNOŠĆU</w:t>
            </w:r>
          </w:p>
          <w:p w:rsidR="00D60789" w:rsidRPr="00D47E56" w:rsidRDefault="00460ABB" w:rsidP="00D60789">
            <w:pPr>
              <w:spacing w:after="0" w:line="240" w:lineRule="auto"/>
              <w:jc w:val="center"/>
              <w:rPr>
                <w:b/>
                <w:bCs/>
                <w:sz w:val="18"/>
                <w:szCs w:val="18"/>
              </w:rPr>
            </w:pPr>
            <w:r w:rsidRPr="00554CCE">
              <w:rPr>
                <w:rFonts w:eastAsia="Times New Roman" w:cs="Times New Roman"/>
                <w:b/>
                <w:bCs/>
                <w:szCs w:val="24"/>
                <w:lang w:eastAsia="zh-CN"/>
              </w:rPr>
              <w:t xml:space="preserve">U POSTUPKU DONOŠENJA </w:t>
            </w:r>
            <w:r w:rsidRPr="00554CCE">
              <w:rPr>
                <w:b/>
                <w:bCs/>
              </w:rPr>
              <w:t>ODLUKE</w:t>
            </w:r>
          </w:p>
          <w:p w:rsidR="000A553A" w:rsidRPr="00554CCE" w:rsidRDefault="00460ABB" w:rsidP="000A553A">
            <w:pPr>
              <w:spacing w:after="0" w:line="240" w:lineRule="auto"/>
              <w:jc w:val="center"/>
              <w:rPr>
                <w:rFonts w:eastAsia="Times New Roman" w:cs="Times New Roman"/>
                <w:bCs/>
                <w:szCs w:val="24"/>
                <w:lang w:eastAsia="zh-CN"/>
              </w:rPr>
            </w:pPr>
            <w:r w:rsidRPr="00554CCE">
              <w:rPr>
                <w:rFonts w:eastAsia="Times New Roman" w:cs="Times New Roman"/>
                <w:bCs/>
                <w:szCs w:val="24"/>
                <w:lang w:eastAsia="zh-CN"/>
              </w:rPr>
              <w:t xml:space="preserve">Nositelj izrade izvješća: Grad Pula - Pola, Upravni odjel za </w:t>
            </w:r>
            <w:r w:rsidR="003960C5">
              <w:rPr>
                <w:rFonts w:eastAsia="Times New Roman" w:cs="Times New Roman"/>
                <w:szCs w:val="24"/>
                <w:lang w:eastAsia="zh-CN"/>
              </w:rPr>
              <w:t>komunalni sustav i upravljanje imovinom</w:t>
            </w:r>
          </w:p>
          <w:p w:rsidR="000A553A" w:rsidRPr="00554CCE" w:rsidRDefault="00460ABB" w:rsidP="001E4E98">
            <w:pPr>
              <w:spacing w:after="0" w:line="240" w:lineRule="auto"/>
              <w:jc w:val="center"/>
              <w:rPr>
                <w:rFonts w:ascii="Arial Narrow" w:eastAsia="Times New Roman" w:hAnsi="Arial Narrow" w:cs="Times New Roman"/>
                <w:b/>
                <w:bCs/>
                <w:sz w:val="20"/>
                <w:szCs w:val="20"/>
                <w:lang w:eastAsia="zh-CN"/>
              </w:rPr>
            </w:pPr>
            <w:r w:rsidRPr="00554CCE">
              <w:rPr>
                <w:rFonts w:eastAsia="Times New Roman" w:cs="Times New Roman"/>
                <w:bCs/>
                <w:szCs w:val="24"/>
                <w:lang w:eastAsia="zh-CN"/>
              </w:rPr>
              <w:t>Pula</w:t>
            </w:r>
            <w:r w:rsidRPr="00C01098">
              <w:rPr>
                <w:rFonts w:eastAsia="Times New Roman" w:cs="Times New Roman"/>
                <w:bCs/>
                <w:szCs w:val="24"/>
                <w:lang w:eastAsia="zh-CN"/>
              </w:rPr>
              <w:t xml:space="preserve">, </w:t>
            </w:r>
            <w:r w:rsidR="00C01098" w:rsidRPr="00C01098">
              <w:rPr>
                <w:rFonts w:eastAsia="Times New Roman" w:cs="Times New Roman"/>
                <w:bCs/>
                <w:szCs w:val="24"/>
                <w:lang w:eastAsia="zh-CN"/>
              </w:rPr>
              <w:t xml:space="preserve">20. 06. </w:t>
            </w:r>
            <w:r w:rsidRPr="00C01098">
              <w:rPr>
                <w:rFonts w:eastAsia="Times New Roman" w:cs="Times New Roman"/>
                <w:bCs/>
                <w:szCs w:val="24"/>
                <w:lang w:eastAsia="zh-CN"/>
              </w:rPr>
              <w:t>20</w:t>
            </w:r>
            <w:r w:rsidR="00D60789" w:rsidRPr="00C01098">
              <w:rPr>
                <w:rFonts w:eastAsia="Times New Roman" w:cs="Times New Roman"/>
                <w:bCs/>
                <w:szCs w:val="24"/>
                <w:lang w:eastAsia="zh-CN"/>
              </w:rPr>
              <w:t>2</w:t>
            </w:r>
            <w:r w:rsidR="00770266" w:rsidRPr="00C01098">
              <w:rPr>
                <w:rFonts w:eastAsia="Times New Roman" w:cs="Times New Roman"/>
                <w:bCs/>
                <w:szCs w:val="24"/>
                <w:lang w:eastAsia="zh-CN"/>
              </w:rPr>
              <w:t>2</w:t>
            </w:r>
            <w:r w:rsidRPr="00C01098">
              <w:rPr>
                <w:rFonts w:eastAsia="Times New Roman" w:cs="Times New Roman"/>
                <w:bCs/>
                <w:szCs w:val="24"/>
                <w:lang w:eastAsia="zh-CN"/>
              </w:rPr>
              <w:t>.</w:t>
            </w:r>
            <w:r w:rsidRPr="00554CCE">
              <w:rPr>
                <w:rFonts w:eastAsia="Times New Roman" w:cs="Times New Roman"/>
                <w:bCs/>
                <w:szCs w:val="24"/>
                <w:lang w:eastAsia="zh-CN"/>
              </w:rPr>
              <w:t xml:space="preserve"> godine</w:t>
            </w:r>
          </w:p>
        </w:tc>
      </w:tr>
      <w:tr w:rsidR="00C75D5C" w:rsidTr="00F05661">
        <w:trPr>
          <w:trHeight w:val="1118"/>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554CCE" w:rsidRDefault="00460ABB" w:rsidP="000A553A">
            <w:pPr>
              <w:spacing w:after="120" w:line="240" w:lineRule="auto"/>
              <w:jc w:val="left"/>
              <w:rPr>
                <w:rFonts w:eastAsia="Times New Roman" w:cs="Times New Roman"/>
                <w:b/>
                <w:bCs/>
                <w:szCs w:val="24"/>
                <w:lang w:eastAsia="zh-CN"/>
              </w:rPr>
            </w:pPr>
            <w:r w:rsidRPr="00554CCE">
              <w:rPr>
                <w:rFonts w:eastAsia="Times New Roman" w:cs="Times New Roman"/>
                <w:b/>
                <w:bCs/>
                <w:szCs w:val="24"/>
                <w:lang w:eastAsia="zh-CN"/>
              </w:rPr>
              <w:t xml:space="preserve">Naziv akta za koji je provedeno savjetovanje s javnošću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554CCE" w:rsidRDefault="00460ABB" w:rsidP="00F05661">
            <w:pPr>
              <w:widowControl w:val="0"/>
              <w:autoSpaceDE w:val="0"/>
              <w:autoSpaceDN w:val="0"/>
              <w:adjustRightInd w:val="0"/>
              <w:spacing w:before="120"/>
              <w:ind w:right="28"/>
              <w:jc w:val="center"/>
              <w:rPr>
                <w:bCs/>
              </w:rPr>
            </w:pPr>
            <w:r w:rsidRPr="00F05661">
              <w:rPr>
                <w:rFonts w:eastAsia="Times New Roman" w:cs="Times New Roman"/>
                <w:b/>
                <w:szCs w:val="24"/>
                <w:lang w:eastAsia="zh-CN"/>
              </w:rPr>
              <w:t xml:space="preserve">Nacrt </w:t>
            </w:r>
            <w:r w:rsidR="00767DCF" w:rsidRPr="00F05661">
              <w:rPr>
                <w:rFonts w:eastAsia="Times New Roman" w:cs="Times New Roman"/>
                <w:b/>
                <w:szCs w:val="24"/>
                <w:lang w:eastAsia="zh-CN"/>
              </w:rPr>
              <w:t xml:space="preserve">prijedloga </w:t>
            </w:r>
            <w:r w:rsidR="008058C5">
              <w:rPr>
                <w:rFonts w:eastAsia="Times New Roman" w:cs="Times New Roman"/>
                <w:b/>
                <w:szCs w:val="24"/>
                <w:lang w:eastAsia="zh-CN"/>
              </w:rPr>
              <w:t xml:space="preserve">Odluke o </w:t>
            </w:r>
            <w:r w:rsidR="00EE5476" w:rsidRPr="00EE5476">
              <w:rPr>
                <w:rFonts w:eastAsia="Times New Roman" w:cs="Times New Roman"/>
                <w:b/>
                <w:szCs w:val="24"/>
                <w:lang w:eastAsia="zh-CN"/>
              </w:rPr>
              <w:t xml:space="preserve">donošenju </w:t>
            </w:r>
            <w:r w:rsidR="00770266">
              <w:rPr>
                <w:rFonts w:eastAsia="Times New Roman" w:cs="Times New Roman"/>
                <w:b/>
                <w:szCs w:val="24"/>
                <w:lang w:eastAsia="zh-CN"/>
              </w:rPr>
              <w:t xml:space="preserve">Izmjena </w:t>
            </w:r>
            <w:r w:rsidR="00EE5476" w:rsidRPr="00EE5476">
              <w:rPr>
                <w:rFonts w:eastAsia="Times New Roman" w:cs="Times New Roman"/>
                <w:b/>
                <w:szCs w:val="24"/>
                <w:lang w:eastAsia="zh-CN"/>
              </w:rPr>
              <w:t>Plana upravljanja pomorskim dobrom na području Grada Pula - Pola za 2022. godinu.</w:t>
            </w:r>
          </w:p>
        </w:tc>
      </w:tr>
      <w:tr w:rsidR="00C75D5C" w:rsidTr="00F05661">
        <w:trPr>
          <w:trHeight w:val="978"/>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554CCE" w:rsidRDefault="00460ABB" w:rsidP="000A553A">
            <w:pPr>
              <w:spacing w:after="120" w:line="240" w:lineRule="auto"/>
              <w:jc w:val="left"/>
              <w:rPr>
                <w:rFonts w:eastAsia="Times New Roman" w:cs="Times New Roman"/>
                <w:b/>
                <w:bCs/>
                <w:szCs w:val="24"/>
                <w:lang w:eastAsia="zh-CN"/>
              </w:rPr>
            </w:pPr>
            <w:r w:rsidRPr="00554CCE">
              <w:rPr>
                <w:rFonts w:eastAsia="Times New Roman" w:cs="Times New Roman"/>
                <w:b/>
                <w:bCs/>
                <w:szCs w:val="24"/>
                <w:lang w:eastAsia="zh-CN"/>
              </w:rPr>
              <w:t xml:space="preserve">Naziv tijela nadležnog za izradu nacrta / provedbu savjetovanja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554CCE" w:rsidRDefault="00460ABB" w:rsidP="00F05661">
            <w:pPr>
              <w:spacing w:after="120" w:line="240" w:lineRule="auto"/>
              <w:rPr>
                <w:rFonts w:eastAsia="Times New Roman" w:cs="Times New Roman"/>
                <w:szCs w:val="24"/>
                <w:lang w:eastAsia="zh-CN"/>
              </w:rPr>
            </w:pPr>
            <w:r w:rsidRPr="00554CCE">
              <w:rPr>
                <w:rFonts w:eastAsia="Times New Roman" w:cs="Times New Roman"/>
                <w:szCs w:val="24"/>
                <w:lang w:eastAsia="zh-CN"/>
              </w:rPr>
              <w:t xml:space="preserve">Upravni odjel za </w:t>
            </w:r>
            <w:r w:rsidR="008058C5">
              <w:rPr>
                <w:rFonts w:eastAsia="Times New Roman" w:cs="Times New Roman"/>
                <w:szCs w:val="24"/>
                <w:lang w:eastAsia="zh-CN"/>
              </w:rPr>
              <w:t>komunalni sustav</w:t>
            </w:r>
            <w:r w:rsidR="00F05661">
              <w:rPr>
                <w:rFonts w:eastAsia="Times New Roman" w:cs="Times New Roman"/>
                <w:szCs w:val="24"/>
                <w:lang w:eastAsia="zh-CN"/>
              </w:rPr>
              <w:t xml:space="preserve"> i </w:t>
            </w:r>
            <w:r w:rsidR="008058C5">
              <w:rPr>
                <w:rFonts w:eastAsia="Times New Roman" w:cs="Times New Roman"/>
                <w:szCs w:val="24"/>
                <w:lang w:eastAsia="zh-CN"/>
              </w:rPr>
              <w:t>upravljanje imovinom</w:t>
            </w:r>
          </w:p>
        </w:tc>
      </w:tr>
      <w:tr w:rsidR="00C75D5C" w:rsidTr="00F05661">
        <w:trPr>
          <w:trHeight w:val="1276"/>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554CCE" w:rsidRDefault="00460ABB" w:rsidP="000A553A">
            <w:pPr>
              <w:spacing w:after="120" w:line="240" w:lineRule="auto"/>
              <w:jc w:val="left"/>
              <w:rPr>
                <w:rFonts w:eastAsia="Times New Roman" w:cs="Times New Roman"/>
                <w:b/>
                <w:bCs/>
                <w:szCs w:val="24"/>
                <w:lang w:eastAsia="zh-CN"/>
              </w:rPr>
            </w:pPr>
            <w:r w:rsidRPr="00554CCE">
              <w:rPr>
                <w:rFonts w:eastAsia="Times New Roman" w:cs="Times New Roman"/>
                <w:b/>
                <w:bCs/>
                <w:szCs w:val="24"/>
                <w:lang w:eastAsia="zh-CN"/>
              </w:rPr>
              <w:t xml:space="preserve">Razlozi za </w:t>
            </w:r>
            <w:r w:rsidRPr="00554CCE">
              <w:rPr>
                <w:rFonts w:eastAsia="Times New Roman" w:cs="Times New Roman"/>
                <w:b/>
                <w:bCs/>
                <w:szCs w:val="24"/>
                <w:lang w:eastAsia="zh-CN"/>
              </w:rPr>
              <w:t>donošenje akta i ciljevi koji se njime žele postići uz sažetak ključnih pitanja</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554CCE" w:rsidRDefault="00460ABB" w:rsidP="00770266">
            <w:pPr>
              <w:spacing w:after="120" w:line="240" w:lineRule="auto"/>
            </w:pPr>
            <w:r w:rsidRPr="00770266">
              <w:rPr>
                <w:rFonts w:eastAsia="Times New Roman" w:cs="Times New Roman"/>
                <w:szCs w:val="24"/>
                <w:lang w:eastAsia="zh-CN"/>
              </w:rPr>
              <w:t>U skladu sa Zakonom o pravu na pristup informacijama, Grad Pula 03. lipnja 2022. godine započinje s provedbom Savjetovanja sa zainteresiranom javnošću s ciljem upoznavanja šire</w:t>
            </w:r>
            <w:r w:rsidRPr="00770266">
              <w:rPr>
                <w:rFonts w:eastAsia="Times New Roman" w:cs="Times New Roman"/>
                <w:szCs w:val="24"/>
                <w:lang w:eastAsia="zh-CN"/>
              </w:rPr>
              <w:t xml:space="preserve"> javnosti te pribavljanja mišljenja, primjedbi i prijedloga o Nacrtu Prijedloga Odluke o donošenju Izmjene Odluke o Planu upravljanja pomorskim dobrom na području Grada Pula-Pola za 2022. godinu.</w:t>
            </w:r>
          </w:p>
        </w:tc>
      </w:tr>
      <w:tr w:rsidR="00C75D5C" w:rsidTr="00F05661">
        <w:trPr>
          <w:trHeight w:val="982"/>
        </w:trPr>
        <w:tc>
          <w:tcPr>
            <w:tcW w:w="4301" w:type="dxa"/>
            <w:vMerge w:val="restart"/>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554CCE" w:rsidRDefault="00460ABB" w:rsidP="000A553A">
            <w:pPr>
              <w:spacing w:after="120" w:line="240" w:lineRule="auto"/>
              <w:jc w:val="left"/>
              <w:rPr>
                <w:rFonts w:eastAsia="Times New Roman" w:cs="Times New Roman"/>
                <w:b/>
                <w:bCs/>
                <w:szCs w:val="24"/>
                <w:lang w:eastAsia="zh-CN"/>
              </w:rPr>
            </w:pPr>
            <w:r w:rsidRPr="00554CCE">
              <w:rPr>
                <w:rFonts w:eastAsia="Times New Roman" w:cs="Times New Roman"/>
                <w:b/>
                <w:bCs/>
                <w:szCs w:val="24"/>
                <w:lang w:eastAsia="zh-CN"/>
              </w:rPr>
              <w:t xml:space="preserve">Objava dokumenata za savjetovanje </w:t>
            </w:r>
          </w:p>
          <w:p w:rsidR="000A553A" w:rsidRPr="00554CCE" w:rsidRDefault="000A553A" w:rsidP="000A553A">
            <w:pPr>
              <w:spacing w:after="120" w:line="240" w:lineRule="auto"/>
              <w:jc w:val="left"/>
              <w:rPr>
                <w:rFonts w:eastAsia="Times New Roman" w:cs="Times New Roman"/>
                <w:b/>
                <w:bCs/>
                <w:szCs w:val="24"/>
                <w:lang w:eastAsia="zh-CN"/>
              </w:rPr>
            </w:pPr>
          </w:p>
          <w:p w:rsidR="000A553A" w:rsidRPr="00554CCE" w:rsidRDefault="00460ABB" w:rsidP="000A553A">
            <w:pPr>
              <w:spacing w:after="120" w:line="240" w:lineRule="auto"/>
              <w:jc w:val="left"/>
              <w:rPr>
                <w:rFonts w:eastAsia="Times New Roman" w:cs="Times New Roman"/>
                <w:b/>
                <w:bCs/>
                <w:szCs w:val="24"/>
                <w:lang w:eastAsia="zh-CN"/>
              </w:rPr>
            </w:pPr>
            <w:r w:rsidRPr="00554CCE">
              <w:rPr>
                <w:rFonts w:eastAsia="Times New Roman" w:cs="Times New Roman"/>
                <w:b/>
                <w:bCs/>
                <w:szCs w:val="24"/>
                <w:lang w:eastAsia="zh-CN"/>
              </w:rPr>
              <w:t xml:space="preserve">Razdoblje provedbe savjetovanja </w:t>
            </w:r>
          </w:p>
          <w:p w:rsidR="000A553A" w:rsidRPr="00554CCE" w:rsidRDefault="000A553A" w:rsidP="000A553A">
            <w:pPr>
              <w:spacing w:after="120" w:line="240" w:lineRule="auto"/>
              <w:jc w:val="left"/>
              <w:rPr>
                <w:rFonts w:eastAsia="Times New Roman" w:cs="Times New Roman"/>
                <w:b/>
                <w:bCs/>
                <w:szCs w:val="24"/>
                <w:lang w:eastAsia="zh-CN"/>
              </w:rPr>
            </w:pP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rsidR="008058C5" w:rsidRPr="00554CCE" w:rsidRDefault="00460ABB" w:rsidP="00F05661">
            <w:pPr>
              <w:spacing w:after="120" w:line="240" w:lineRule="auto"/>
              <w:jc w:val="left"/>
              <w:rPr>
                <w:rFonts w:eastAsia="Times New Roman" w:cs="Times New Roman"/>
                <w:bCs/>
                <w:color w:val="0000FF"/>
                <w:szCs w:val="24"/>
                <w:u w:val="single"/>
                <w:lang w:eastAsia="zh-CN"/>
              </w:rPr>
            </w:pPr>
            <w:r w:rsidRPr="00770266">
              <w:rPr>
                <w:rFonts w:eastAsia="Times New Roman" w:cs="Times New Roman"/>
                <w:bCs/>
                <w:color w:val="0000FF"/>
                <w:szCs w:val="24"/>
                <w:u w:val="single"/>
                <w:lang w:eastAsia="zh-CN"/>
              </w:rPr>
              <w:t>https://www.pula.hr/hr/eusluge/ekonzultacije/ekonzultacije-u-tijeku/78/prijedloga-odluke-o-donosenju-izmjene-odluke-o-planu-upravljanja-pomorskim-dobrom-na-podrucju-grada-pula-pola-za-2022-godinu/</w:t>
            </w:r>
          </w:p>
        </w:tc>
      </w:tr>
      <w:tr w:rsidR="00C75D5C" w:rsidTr="00F05661">
        <w:trPr>
          <w:trHeight w:val="982"/>
        </w:trPr>
        <w:tc>
          <w:tcPr>
            <w:tcW w:w="4301" w:type="dxa"/>
            <w:vMerge/>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554CCE" w:rsidRDefault="000A553A" w:rsidP="000A553A">
            <w:pPr>
              <w:spacing w:after="120" w:line="240" w:lineRule="auto"/>
              <w:jc w:val="left"/>
              <w:rPr>
                <w:rFonts w:eastAsia="Times New Roman" w:cs="Times New Roman"/>
                <w:b/>
                <w:bCs/>
                <w:szCs w:val="24"/>
                <w:lang w:eastAsia="zh-CN"/>
              </w:rPr>
            </w:pPr>
          </w:p>
        </w:tc>
        <w:tc>
          <w:tcPr>
            <w:tcW w:w="10266" w:type="dxa"/>
            <w:tcBorders>
              <w:top w:val="single" w:sz="4" w:space="0" w:color="365F91"/>
              <w:left w:val="single" w:sz="4" w:space="0" w:color="365F91"/>
              <w:right w:val="single" w:sz="4" w:space="0" w:color="365F91"/>
            </w:tcBorders>
            <w:shd w:val="clear" w:color="auto" w:fill="auto"/>
            <w:vAlign w:val="center"/>
          </w:tcPr>
          <w:p w:rsidR="007E0CB9" w:rsidRPr="00554CCE" w:rsidRDefault="00460ABB" w:rsidP="00F05661">
            <w:pPr>
              <w:spacing w:after="120" w:line="240" w:lineRule="auto"/>
              <w:rPr>
                <w:rFonts w:eastAsia="Times New Roman" w:cs="Times New Roman"/>
                <w:bCs/>
                <w:szCs w:val="24"/>
                <w:lang w:eastAsia="zh-CN"/>
              </w:rPr>
            </w:pPr>
            <w:r w:rsidRPr="00554CCE">
              <w:rPr>
                <w:rFonts w:eastAsia="Times New Roman" w:cs="Times New Roman"/>
                <w:szCs w:val="24"/>
                <w:shd w:val="clear" w:color="auto" w:fill="FFFFFF"/>
                <w:lang w:eastAsia="zh-CN"/>
              </w:rPr>
              <w:t xml:space="preserve">Internetsko </w:t>
            </w:r>
            <w:r w:rsidRPr="00554CCE">
              <w:rPr>
                <w:rFonts w:eastAsia="Times New Roman" w:cs="Times New Roman"/>
                <w:szCs w:val="24"/>
                <w:shd w:val="clear" w:color="auto" w:fill="FFFFFF"/>
                <w:lang w:eastAsia="zh-CN"/>
              </w:rPr>
              <w:t>savjetovanje s javnošću provedeno je u razdoblju od</w:t>
            </w:r>
            <w:r w:rsidR="001E4E98" w:rsidRPr="001E4E98">
              <w:rPr>
                <w:rFonts w:eastAsia="Times New Roman" w:cs="Times New Roman"/>
                <w:szCs w:val="24"/>
                <w:shd w:val="clear" w:color="auto" w:fill="FFFFFF"/>
                <w:lang w:eastAsia="zh-CN"/>
              </w:rPr>
              <w:t xml:space="preserve"> </w:t>
            </w:r>
            <w:r w:rsidR="00770266" w:rsidRPr="00770266">
              <w:rPr>
                <w:rFonts w:eastAsia="Times New Roman" w:cs="Times New Roman"/>
                <w:szCs w:val="24"/>
                <w:lang w:eastAsia="zh-CN"/>
              </w:rPr>
              <w:t>03. lipnja 2022. godine do 17. lipnja 2022</w:t>
            </w:r>
            <w:r w:rsidR="00770266">
              <w:rPr>
                <w:rFonts w:eastAsia="Times New Roman" w:cs="Times New Roman"/>
                <w:szCs w:val="24"/>
                <w:lang w:eastAsia="zh-CN"/>
              </w:rPr>
              <w:t>. godine</w:t>
            </w:r>
          </w:p>
        </w:tc>
      </w:tr>
      <w:tr w:rsidR="00C75D5C" w:rsidTr="00F05661">
        <w:trPr>
          <w:trHeight w:val="880"/>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554CCE" w:rsidRDefault="00460ABB" w:rsidP="000A553A">
            <w:pPr>
              <w:spacing w:after="120" w:line="240" w:lineRule="auto"/>
              <w:jc w:val="left"/>
              <w:rPr>
                <w:rFonts w:eastAsia="Times New Roman" w:cs="Times New Roman"/>
                <w:b/>
                <w:bCs/>
                <w:szCs w:val="24"/>
                <w:lang w:eastAsia="zh-CN"/>
              </w:rPr>
            </w:pPr>
            <w:r w:rsidRPr="00554CCE">
              <w:rPr>
                <w:rFonts w:eastAsia="Times New Roman" w:cs="Times New Roman"/>
                <w:b/>
                <w:bCs/>
                <w:szCs w:val="24"/>
                <w:lang w:eastAsia="zh-CN"/>
              </w:rPr>
              <w:t xml:space="preserve">Pregled osnovnih pokazatelja  uključenosti savjetovanja s javnošću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554CCE" w:rsidRDefault="00460ABB" w:rsidP="00F05661">
            <w:pPr>
              <w:spacing w:after="120" w:line="240" w:lineRule="auto"/>
              <w:jc w:val="left"/>
              <w:rPr>
                <w:rFonts w:eastAsia="Times New Roman" w:cs="Times New Roman"/>
                <w:bCs/>
                <w:szCs w:val="24"/>
                <w:lang w:eastAsia="zh-CN"/>
              </w:rPr>
            </w:pPr>
            <w:r w:rsidRPr="00554CCE">
              <w:rPr>
                <w:rFonts w:eastAsia="Times New Roman" w:cs="Times New Roman"/>
                <w:bCs/>
                <w:szCs w:val="24"/>
                <w:lang w:eastAsia="zh-CN"/>
              </w:rPr>
              <w:t xml:space="preserve">U za to propisanom roku </w:t>
            </w:r>
            <w:r w:rsidR="00896259" w:rsidRPr="00C01098">
              <w:rPr>
                <w:rFonts w:eastAsia="Times New Roman" w:cs="Times New Roman"/>
                <w:bCs/>
                <w:szCs w:val="24"/>
                <w:lang w:eastAsia="zh-CN"/>
              </w:rPr>
              <w:t>zaprimljen</w:t>
            </w:r>
            <w:r w:rsidR="00557F53" w:rsidRPr="00C01098">
              <w:rPr>
                <w:rFonts w:eastAsia="Times New Roman" w:cs="Times New Roman"/>
                <w:bCs/>
                <w:szCs w:val="24"/>
                <w:lang w:eastAsia="zh-CN"/>
              </w:rPr>
              <w:t>o je</w:t>
            </w:r>
            <w:r w:rsidR="00C01098" w:rsidRPr="00C01098">
              <w:rPr>
                <w:rFonts w:eastAsia="Times New Roman" w:cs="Times New Roman"/>
                <w:bCs/>
                <w:szCs w:val="24"/>
                <w:lang w:eastAsia="zh-CN"/>
              </w:rPr>
              <w:t xml:space="preserve"> 4</w:t>
            </w:r>
            <w:r w:rsidR="00F05661" w:rsidRPr="00C01098">
              <w:rPr>
                <w:rFonts w:eastAsia="Times New Roman" w:cs="Times New Roman"/>
                <w:bCs/>
                <w:szCs w:val="24"/>
                <w:lang w:eastAsia="zh-CN"/>
              </w:rPr>
              <w:t xml:space="preserve"> </w:t>
            </w:r>
            <w:r w:rsidR="00526E2D" w:rsidRPr="00C01098">
              <w:rPr>
                <w:rFonts w:eastAsia="Times New Roman" w:cs="Times New Roman"/>
                <w:bCs/>
                <w:szCs w:val="24"/>
                <w:lang w:eastAsia="zh-CN"/>
              </w:rPr>
              <w:t xml:space="preserve"> </w:t>
            </w:r>
            <w:r w:rsidRPr="00C01098">
              <w:rPr>
                <w:rFonts w:eastAsia="Times New Roman" w:cs="Times New Roman"/>
                <w:bCs/>
                <w:szCs w:val="24"/>
                <w:lang w:eastAsia="zh-CN"/>
              </w:rPr>
              <w:t>prijedlog</w:t>
            </w:r>
            <w:r w:rsidR="00896259" w:rsidRPr="00C01098">
              <w:rPr>
                <w:rFonts w:eastAsia="Times New Roman" w:cs="Times New Roman"/>
                <w:bCs/>
                <w:szCs w:val="24"/>
                <w:lang w:eastAsia="zh-CN"/>
              </w:rPr>
              <w:t>a</w:t>
            </w:r>
            <w:r w:rsidRPr="00C01098">
              <w:rPr>
                <w:rFonts w:eastAsia="Times New Roman" w:cs="Times New Roman"/>
                <w:bCs/>
                <w:szCs w:val="24"/>
                <w:lang w:eastAsia="zh-CN"/>
              </w:rPr>
              <w:t xml:space="preserve"> podnesen</w:t>
            </w:r>
            <w:r w:rsidR="00896259" w:rsidRPr="00C01098">
              <w:rPr>
                <w:rFonts w:eastAsia="Times New Roman" w:cs="Times New Roman"/>
                <w:bCs/>
                <w:szCs w:val="24"/>
                <w:lang w:eastAsia="zh-CN"/>
              </w:rPr>
              <w:t>ih</w:t>
            </w:r>
            <w:r w:rsidRPr="00554CCE">
              <w:rPr>
                <w:rFonts w:eastAsia="Times New Roman" w:cs="Times New Roman"/>
                <w:bCs/>
                <w:szCs w:val="24"/>
                <w:lang w:eastAsia="zh-CN"/>
              </w:rPr>
              <w:t xml:space="preserve"> od strane zainteresirane javnosti.</w:t>
            </w:r>
          </w:p>
        </w:tc>
      </w:tr>
      <w:tr w:rsidR="00C75D5C" w:rsidTr="00822594">
        <w:trPr>
          <w:trHeight w:val="432"/>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554CCE" w:rsidRDefault="00460ABB" w:rsidP="000A553A">
            <w:pPr>
              <w:spacing w:after="120" w:line="240" w:lineRule="auto"/>
              <w:jc w:val="left"/>
              <w:rPr>
                <w:rFonts w:eastAsia="Times New Roman" w:cs="Times New Roman"/>
                <w:b/>
                <w:bCs/>
                <w:szCs w:val="24"/>
                <w:lang w:eastAsia="zh-CN"/>
              </w:rPr>
            </w:pPr>
            <w:r w:rsidRPr="00554CCE">
              <w:rPr>
                <w:rFonts w:eastAsia="Times New Roman" w:cs="Times New Roman"/>
                <w:b/>
                <w:bCs/>
                <w:szCs w:val="24"/>
                <w:lang w:eastAsia="zh-CN"/>
              </w:rPr>
              <w:t>Troškovi provedenog savjetovanja</w:t>
            </w:r>
          </w:p>
        </w:tc>
        <w:tc>
          <w:tcPr>
            <w:tcW w:w="10266" w:type="dxa"/>
            <w:tcBorders>
              <w:top w:val="single" w:sz="4" w:space="0" w:color="365F91"/>
              <w:left w:val="single" w:sz="4" w:space="0" w:color="365F91"/>
              <w:bottom w:val="single" w:sz="4" w:space="0" w:color="365F91"/>
              <w:right w:val="single" w:sz="4" w:space="0" w:color="365F91"/>
            </w:tcBorders>
            <w:shd w:val="clear" w:color="auto" w:fill="auto"/>
          </w:tcPr>
          <w:p w:rsidR="000A553A" w:rsidRPr="00554CCE" w:rsidRDefault="00460ABB" w:rsidP="00F05661">
            <w:pPr>
              <w:spacing w:before="240" w:after="240" w:line="240" w:lineRule="auto"/>
              <w:ind w:left="94" w:right="176"/>
              <w:jc w:val="left"/>
              <w:rPr>
                <w:rFonts w:eastAsia="Times New Roman" w:cs="Times New Roman"/>
                <w:bCs/>
                <w:szCs w:val="24"/>
                <w:lang w:eastAsia="zh-CN"/>
              </w:rPr>
            </w:pPr>
            <w:r w:rsidRPr="00554CCE">
              <w:rPr>
                <w:rFonts w:eastAsia="Times New Roman" w:cs="Times New Roman"/>
                <w:bCs/>
                <w:szCs w:val="24"/>
                <w:lang w:eastAsia="zh-CN"/>
              </w:rPr>
              <w:t>Provedba javnog savjetovanja nije iziskivala dodatne financijske troškove</w:t>
            </w:r>
            <w:r w:rsidR="0078062A">
              <w:rPr>
                <w:rFonts w:eastAsia="Times New Roman" w:cs="Times New Roman"/>
                <w:bCs/>
                <w:szCs w:val="24"/>
                <w:lang w:eastAsia="zh-CN"/>
              </w:rPr>
              <w:t>.</w:t>
            </w:r>
          </w:p>
        </w:tc>
      </w:tr>
    </w:tbl>
    <w:p w:rsidR="00D47E56" w:rsidRDefault="00D47E56" w:rsidP="006D0278">
      <w:pPr>
        <w:sectPr w:rsidR="00D47E56" w:rsidSect="00557F53">
          <w:pgSz w:w="16840" w:h="11910" w:orient="landscape" w:code="9"/>
          <w:pgMar w:top="1134" w:right="840" w:bottom="1418" w:left="1380" w:header="0" w:footer="1191" w:gutter="0"/>
          <w:cols w:space="708"/>
          <w:docGrid w:linePitch="326"/>
        </w:sectPr>
      </w:pPr>
    </w:p>
    <w:p w:rsidR="00566A7F" w:rsidRDefault="00460ABB" w:rsidP="00D47E56">
      <w:pPr>
        <w:jc w:val="center"/>
      </w:pPr>
      <w:r w:rsidRPr="00554CCE">
        <w:rPr>
          <w:rFonts w:eastAsia="Times New Roman" w:cs="Times New Roman"/>
          <w:b/>
          <w:bCs/>
          <w:szCs w:val="24"/>
          <w:lang w:eastAsia="zh-CN"/>
        </w:rPr>
        <w:lastRenderedPageBreak/>
        <w:t xml:space="preserve">Pregled prihvaćenih i neprihvaćenih mišljenja i prijedloga s obrazloženjem </w:t>
      </w:r>
      <w:r w:rsidRPr="00554CCE">
        <w:rPr>
          <w:rFonts w:eastAsia="Times New Roman" w:cs="Times New Roman"/>
          <w:b/>
          <w:bCs/>
          <w:szCs w:val="24"/>
          <w:lang w:eastAsia="zh-CN"/>
        </w:rPr>
        <w:t>razloga za neprihvaćanje</w:t>
      </w:r>
    </w:p>
    <w:tbl>
      <w:tblPr>
        <w:tblW w:w="14850" w:type="dxa"/>
        <w:tblInd w:w="-449"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tblPr>
      <w:tblGrid>
        <w:gridCol w:w="544"/>
        <w:gridCol w:w="1583"/>
        <w:gridCol w:w="7479"/>
        <w:gridCol w:w="5244"/>
      </w:tblGrid>
      <w:tr w:rsidR="00C75D5C" w:rsidTr="00526E2D">
        <w:tc>
          <w:tcPr>
            <w:tcW w:w="544" w:type="dxa"/>
            <w:vAlign w:val="center"/>
          </w:tcPr>
          <w:p w:rsidR="00566A7F" w:rsidRPr="00905D4D" w:rsidRDefault="00460ABB" w:rsidP="00F549D6">
            <w:pPr>
              <w:spacing w:after="120" w:line="240" w:lineRule="auto"/>
              <w:jc w:val="center"/>
              <w:rPr>
                <w:rFonts w:cs="Times New Roman"/>
                <w:b/>
                <w:sz w:val="18"/>
                <w:szCs w:val="18"/>
              </w:rPr>
            </w:pPr>
            <w:r w:rsidRPr="00905D4D">
              <w:rPr>
                <w:rFonts w:cs="Times New Roman"/>
                <w:b/>
                <w:sz w:val="18"/>
                <w:szCs w:val="18"/>
              </w:rPr>
              <w:t>R</w:t>
            </w:r>
            <w:r w:rsidR="00D47E56">
              <w:rPr>
                <w:rFonts w:cs="Times New Roman"/>
                <w:b/>
                <w:sz w:val="18"/>
                <w:szCs w:val="18"/>
              </w:rPr>
              <w:t>B</w:t>
            </w:r>
          </w:p>
        </w:tc>
        <w:tc>
          <w:tcPr>
            <w:tcW w:w="1583" w:type="dxa"/>
            <w:vAlign w:val="center"/>
          </w:tcPr>
          <w:p w:rsidR="00566A7F" w:rsidRPr="00905D4D" w:rsidRDefault="00460ABB" w:rsidP="00F549D6">
            <w:pPr>
              <w:spacing w:after="120" w:line="240" w:lineRule="auto"/>
              <w:jc w:val="center"/>
              <w:rPr>
                <w:rFonts w:cs="Times New Roman"/>
                <w:b/>
                <w:sz w:val="18"/>
                <w:szCs w:val="18"/>
              </w:rPr>
            </w:pPr>
            <w:r w:rsidRPr="00905D4D">
              <w:rPr>
                <w:rFonts w:cs="Times New Roman"/>
                <w:b/>
                <w:sz w:val="18"/>
                <w:szCs w:val="18"/>
              </w:rPr>
              <w:t>Sudionik savjetovanja (ime i prezime pojedinca, naziv organizacije)</w:t>
            </w:r>
          </w:p>
        </w:tc>
        <w:tc>
          <w:tcPr>
            <w:tcW w:w="7479" w:type="dxa"/>
            <w:vAlign w:val="center"/>
          </w:tcPr>
          <w:p w:rsidR="00566A7F" w:rsidRPr="00905D4D" w:rsidRDefault="00460ABB" w:rsidP="00F549D6">
            <w:pPr>
              <w:spacing w:after="120" w:line="240" w:lineRule="auto"/>
              <w:jc w:val="center"/>
              <w:rPr>
                <w:rFonts w:cs="Times New Roman"/>
                <w:b/>
                <w:sz w:val="18"/>
                <w:szCs w:val="18"/>
              </w:rPr>
            </w:pPr>
            <w:r w:rsidRPr="00905D4D">
              <w:rPr>
                <w:rFonts w:cs="Times New Roman"/>
                <w:b/>
                <w:sz w:val="18"/>
                <w:szCs w:val="18"/>
              </w:rPr>
              <w:t>Tekst zaprimljenog prijedloga ili mišljenja</w:t>
            </w:r>
          </w:p>
        </w:tc>
        <w:tc>
          <w:tcPr>
            <w:tcW w:w="5244" w:type="dxa"/>
            <w:vAlign w:val="center"/>
          </w:tcPr>
          <w:p w:rsidR="00566A7F" w:rsidRPr="00905D4D" w:rsidRDefault="00460ABB" w:rsidP="00F549D6">
            <w:pPr>
              <w:spacing w:after="120" w:line="240" w:lineRule="auto"/>
              <w:jc w:val="center"/>
              <w:rPr>
                <w:rFonts w:cs="Times New Roman"/>
                <w:b/>
                <w:sz w:val="18"/>
                <w:szCs w:val="18"/>
              </w:rPr>
            </w:pPr>
            <w:r w:rsidRPr="00905D4D">
              <w:rPr>
                <w:rFonts w:cs="Times New Roman"/>
                <w:b/>
                <w:sz w:val="18"/>
                <w:szCs w:val="18"/>
              </w:rPr>
              <w:t>Status prijedloga ili mišljenja (prihvaćanje/neprihvaćanje s  obrazloženjem)</w:t>
            </w:r>
          </w:p>
        </w:tc>
      </w:tr>
      <w:tr w:rsidR="00C75D5C" w:rsidTr="00526E2D">
        <w:trPr>
          <w:trHeight w:val="567"/>
        </w:trPr>
        <w:tc>
          <w:tcPr>
            <w:tcW w:w="544" w:type="dxa"/>
            <w:shd w:val="clear" w:color="auto" w:fill="auto"/>
            <w:vAlign w:val="center"/>
          </w:tcPr>
          <w:p w:rsidR="00566A7F" w:rsidRPr="00905D4D" w:rsidRDefault="00460ABB" w:rsidP="00F549D6">
            <w:pPr>
              <w:spacing w:after="120" w:line="240" w:lineRule="auto"/>
              <w:rPr>
                <w:rFonts w:cs="Times New Roman"/>
                <w:b/>
                <w:sz w:val="18"/>
                <w:szCs w:val="18"/>
              </w:rPr>
            </w:pPr>
            <w:r w:rsidRPr="00905D4D">
              <w:rPr>
                <w:rFonts w:cs="Times New Roman"/>
                <w:b/>
                <w:sz w:val="18"/>
                <w:szCs w:val="18"/>
              </w:rPr>
              <w:t>1.</w:t>
            </w:r>
          </w:p>
        </w:tc>
        <w:tc>
          <w:tcPr>
            <w:tcW w:w="1583" w:type="dxa"/>
            <w:shd w:val="clear" w:color="auto" w:fill="auto"/>
            <w:vAlign w:val="center"/>
          </w:tcPr>
          <w:p w:rsidR="00566A7F" w:rsidRPr="00FD54E0" w:rsidRDefault="00460ABB" w:rsidP="00F549D6">
            <w:pPr>
              <w:spacing w:after="120" w:line="240" w:lineRule="auto"/>
              <w:rPr>
                <w:rFonts w:cs="Times New Roman"/>
                <w:b/>
                <w:bCs/>
              </w:rPr>
            </w:pPr>
            <w:r>
              <w:rPr>
                <w:rFonts w:cs="Times New Roman"/>
                <w:b/>
                <w:bCs/>
                <w:sz w:val="22"/>
              </w:rPr>
              <w:t>Milan Nanezić</w:t>
            </w:r>
          </w:p>
        </w:tc>
        <w:tc>
          <w:tcPr>
            <w:tcW w:w="7479" w:type="dxa"/>
            <w:shd w:val="clear" w:color="auto" w:fill="auto"/>
            <w:vAlign w:val="center"/>
          </w:tcPr>
          <w:p w:rsidR="00006D10" w:rsidRPr="001832D9" w:rsidRDefault="00460ABB" w:rsidP="00006D10">
            <w:pPr>
              <w:spacing w:after="0" w:line="240" w:lineRule="auto"/>
              <w:jc w:val="left"/>
              <w:rPr>
                <w:rFonts w:eastAsia="Times New Roman" w:cs="Times New Roman"/>
                <w:b/>
                <w:bCs/>
                <w:szCs w:val="24"/>
                <w:lang w:val="en-US"/>
              </w:rPr>
            </w:pPr>
            <w:r w:rsidRPr="001832D9">
              <w:rPr>
                <w:rFonts w:eastAsia="Times New Roman" w:cs="Times New Roman"/>
                <w:b/>
                <w:bCs/>
                <w:szCs w:val="24"/>
                <w:lang w:val="en-US"/>
              </w:rPr>
              <w:t>Zaprimljeno 0</w:t>
            </w:r>
            <w:r w:rsidR="007B0E9D" w:rsidRPr="001832D9">
              <w:rPr>
                <w:rFonts w:eastAsia="Times New Roman" w:cs="Times New Roman"/>
                <w:b/>
                <w:bCs/>
                <w:szCs w:val="24"/>
                <w:lang w:val="en-US"/>
              </w:rPr>
              <w:t>6</w:t>
            </w:r>
            <w:r w:rsidRPr="001832D9">
              <w:rPr>
                <w:rFonts w:eastAsia="Times New Roman" w:cs="Times New Roman"/>
                <w:b/>
                <w:bCs/>
                <w:szCs w:val="24"/>
                <w:lang w:val="en-US"/>
              </w:rPr>
              <w:t>.</w:t>
            </w:r>
            <w:r w:rsidR="007B0E9D" w:rsidRPr="001832D9">
              <w:rPr>
                <w:rFonts w:eastAsia="Times New Roman" w:cs="Times New Roman"/>
                <w:b/>
                <w:bCs/>
                <w:szCs w:val="24"/>
                <w:lang w:val="en-US"/>
              </w:rPr>
              <w:t>06</w:t>
            </w:r>
            <w:r w:rsidRPr="001832D9">
              <w:rPr>
                <w:rFonts w:eastAsia="Times New Roman" w:cs="Times New Roman"/>
                <w:b/>
                <w:bCs/>
                <w:szCs w:val="24"/>
                <w:lang w:val="en-US"/>
              </w:rPr>
              <w:t>.202</w:t>
            </w:r>
            <w:r w:rsidR="007B0E9D" w:rsidRPr="001832D9">
              <w:rPr>
                <w:rFonts w:eastAsia="Times New Roman" w:cs="Times New Roman"/>
                <w:b/>
                <w:bCs/>
                <w:szCs w:val="24"/>
                <w:lang w:val="en-US"/>
              </w:rPr>
              <w:t>2</w:t>
            </w:r>
            <w:r w:rsidRPr="001832D9">
              <w:rPr>
                <w:rFonts w:eastAsia="Times New Roman" w:cs="Times New Roman"/>
                <w:b/>
                <w:bCs/>
                <w:szCs w:val="24"/>
                <w:lang w:val="en-US"/>
              </w:rPr>
              <w:t>.</w:t>
            </w:r>
          </w:p>
          <w:p w:rsidR="007B0E9D" w:rsidRPr="001832D9" w:rsidRDefault="007B0E9D" w:rsidP="007B0E9D">
            <w:pPr>
              <w:spacing w:after="0" w:line="240" w:lineRule="auto"/>
              <w:jc w:val="left"/>
              <w:rPr>
                <w:rFonts w:eastAsia="Times New Roman" w:cs="Times New Roman"/>
                <w:i/>
                <w:iCs/>
                <w:szCs w:val="24"/>
                <w:lang w:val="en-US"/>
              </w:rPr>
            </w:pPr>
          </w:p>
          <w:p w:rsidR="007B0E9D" w:rsidRPr="001832D9" w:rsidRDefault="00460ABB" w:rsidP="007B0E9D">
            <w:pPr>
              <w:spacing w:after="0" w:line="240" w:lineRule="auto"/>
              <w:jc w:val="left"/>
              <w:rPr>
                <w:rFonts w:eastAsia="Times New Roman" w:cs="Times New Roman"/>
                <w:szCs w:val="24"/>
                <w:lang w:val="en-US"/>
              </w:rPr>
            </w:pPr>
            <w:r w:rsidRPr="001832D9">
              <w:rPr>
                <w:rFonts w:eastAsia="Times New Roman" w:cs="Times New Roman"/>
                <w:i/>
                <w:iCs/>
                <w:szCs w:val="24"/>
                <w:lang w:val="en-US"/>
              </w:rPr>
              <w:t>Poštovani,</w:t>
            </w:r>
          </w:p>
          <w:p w:rsidR="007B0E9D" w:rsidRPr="001832D9" w:rsidRDefault="00460ABB" w:rsidP="007B0E9D">
            <w:pPr>
              <w:spacing w:after="0" w:line="240" w:lineRule="auto"/>
              <w:jc w:val="left"/>
              <w:rPr>
                <w:rFonts w:eastAsia="Times New Roman" w:cs="Times New Roman"/>
                <w:szCs w:val="24"/>
                <w:lang w:val="en-US"/>
              </w:rPr>
            </w:pPr>
            <w:r w:rsidRPr="001832D9">
              <w:rPr>
                <w:rFonts w:eastAsia="Times New Roman" w:cs="Times New Roman"/>
                <w:i/>
                <w:iCs/>
                <w:szCs w:val="24"/>
                <w:lang w:val="en-US"/>
              </w:rPr>
              <w:t>Ne prihvačam izmjenu Odluka o izmjeni Odluke o donošenju plana upravljanja pomorskim dobrom na području grada Pule za 2022. godinu.</w:t>
            </w:r>
          </w:p>
          <w:p w:rsidR="007B0E9D" w:rsidRPr="001832D9" w:rsidRDefault="00460ABB" w:rsidP="007B0E9D">
            <w:pPr>
              <w:spacing w:after="0" w:line="240" w:lineRule="auto"/>
              <w:jc w:val="left"/>
              <w:rPr>
                <w:rFonts w:eastAsia="Times New Roman" w:cs="Times New Roman"/>
                <w:szCs w:val="24"/>
                <w:lang w:val="en-US"/>
              </w:rPr>
            </w:pPr>
            <w:r w:rsidRPr="001832D9">
              <w:rPr>
                <w:rFonts w:eastAsia="Times New Roman" w:cs="Times New Roman"/>
                <w:i/>
                <w:iCs/>
                <w:szCs w:val="24"/>
                <w:lang w:val="en-US"/>
              </w:rPr>
              <w:t>Naime smatram da lokaciji Puntižela - Hidrobaza ima dovoljno lokala i da nisu potrebni novi lokali, te tražim</w:t>
            </w:r>
            <w:r w:rsidRPr="001832D9">
              <w:rPr>
                <w:rFonts w:eastAsia="Times New Roman" w:cs="Times New Roman"/>
                <w:i/>
                <w:iCs/>
                <w:szCs w:val="24"/>
                <w:lang w:val="en-US"/>
              </w:rPr>
              <w:t xml:space="preserve"> da se iz odluke izbrišu stvake 1.9, 1.9.1. Isto tako ne slažem se dijelom odlukom 1.9.2. i 1.32. i tražim da se iz istih izbaci riječ "komercijalna". Lokacija Puntižela - Hidrobaza mora biti bez novih komercijalnih sadrzaja kako bi se ista očuvala za slij</w:t>
            </w:r>
            <w:r w:rsidRPr="001832D9">
              <w:rPr>
                <w:rFonts w:eastAsia="Times New Roman" w:cs="Times New Roman"/>
                <w:i/>
                <w:iCs/>
                <w:szCs w:val="24"/>
                <w:lang w:val="en-US"/>
              </w:rPr>
              <w:t>edeće naraštaje građana Pule, a ne uništila komercijalnim događajima.</w:t>
            </w:r>
          </w:p>
          <w:p w:rsidR="007B0E9D" w:rsidRPr="001832D9" w:rsidRDefault="00460ABB" w:rsidP="007B0E9D">
            <w:pPr>
              <w:spacing w:after="0" w:line="240" w:lineRule="auto"/>
              <w:jc w:val="left"/>
              <w:rPr>
                <w:rFonts w:eastAsia="Times New Roman" w:cs="Times New Roman"/>
                <w:szCs w:val="24"/>
                <w:lang w:val="en-US"/>
              </w:rPr>
            </w:pPr>
            <w:r w:rsidRPr="001832D9">
              <w:rPr>
                <w:rFonts w:eastAsia="Times New Roman" w:cs="Times New Roman"/>
                <w:szCs w:val="24"/>
                <w:lang w:val="en-US"/>
              </w:rPr>
              <w:t> </w:t>
            </w:r>
            <w:r w:rsidRPr="001832D9">
              <w:rPr>
                <w:rFonts w:eastAsia="Times New Roman" w:cs="Times New Roman"/>
                <w:i/>
                <w:iCs/>
                <w:szCs w:val="24"/>
                <w:lang w:val="en-US"/>
              </w:rPr>
              <w:t>S poštovanjem.</w:t>
            </w:r>
          </w:p>
          <w:p w:rsidR="00526E2D" w:rsidRPr="001832D9" w:rsidRDefault="00526E2D" w:rsidP="00770266">
            <w:pPr>
              <w:spacing w:after="0" w:line="240" w:lineRule="auto"/>
              <w:jc w:val="left"/>
              <w:rPr>
                <w:rFonts w:eastAsia="Times New Roman" w:cs="Times New Roman"/>
                <w:szCs w:val="24"/>
                <w:lang w:val="en-US"/>
              </w:rPr>
            </w:pPr>
          </w:p>
        </w:tc>
        <w:tc>
          <w:tcPr>
            <w:tcW w:w="5244" w:type="dxa"/>
            <w:shd w:val="clear" w:color="auto" w:fill="auto"/>
            <w:vAlign w:val="center"/>
          </w:tcPr>
          <w:p w:rsidR="003F2A71" w:rsidRDefault="00460ABB" w:rsidP="00F549D6">
            <w:pPr>
              <w:spacing w:after="120" w:line="240" w:lineRule="auto"/>
              <w:rPr>
                <w:rFonts w:cs="Times New Roman"/>
                <w:bCs/>
                <w:szCs w:val="24"/>
              </w:rPr>
            </w:pPr>
            <w:r>
              <w:rPr>
                <w:rFonts w:cs="Times New Roman"/>
                <w:bCs/>
                <w:szCs w:val="24"/>
              </w:rPr>
              <w:t>NE PRIHVAĆA SE</w:t>
            </w:r>
          </w:p>
          <w:p w:rsidR="00566A7F" w:rsidRPr="009149E7" w:rsidRDefault="00460ABB" w:rsidP="00F549D6">
            <w:pPr>
              <w:spacing w:after="120" w:line="240" w:lineRule="auto"/>
              <w:rPr>
                <w:rFonts w:cs="Times New Roman"/>
                <w:bCs/>
                <w:szCs w:val="24"/>
              </w:rPr>
            </w:pPr>
            <w:r w:rsidRPr="009149E7">
              <w:rPr>
                <w:rFonts w:cs="Times New Roman"/>
                <w:bCs/>
                <w:szCs w:val="24"/>
              </w:rPr>
              <w:t>Prijedlogom Odluke predviđeno je i ukidanje jedn</w:t>
            </w:r>
            <w:r w:rsidR="003A6814" w:rsidRPr="009149E7">
              <w:rPr>
                <w:rFonts w:cs="Times New Roman"/>
                <w:bCs/>
                <w:szCs w:val="24"/>
              </w:rPr>
              <w:t>e lokacije za ugostiteljstvo</w:t>
            </w:r>
            <w:r w:rsidRPr="009149E7">
              <w:rPr>
                <w:rFonts w:cs="Times New Roman"/>
                <w:bCs/>
                <w:szCs w:val="24"/>
              </w:rPr>
              <w:t>, tako da se u tom smislu ne povećava broj ugostiteljskih objekata.</w:t>
            </w:r>
          </w:p>
          <w:p w:rsidR="003A6814" w:rsidRPr="009149E7" w:rsidRDefault="00460ABB" w:rsidP="00F549D6">
            <w:pPr>
              <w:spacing w:after="120" w:line="240" w:lineRule="auto"/>
              <w:rPr>
                <w:rFonts w:cs="Times New Roman"/>
                <w:bCs/>
                <w:szCs w:val="24"/>
              </w:rPr>
            </w:pPr>
            <w:r w:rsidRPr="009149E7">
              <w:rPr>
                <w:rFonts w:cs="Times New Roman"/>
                <w:bCs/>
                <w:szCs w:val="24"/>
              </w:rPr>
              <w:t xml:space="preserve">U dijelu </w:t>
            </w:r>
            <w:r w:rsidRPr="009149E7">
              <w:rPr>
                <w:rFonts w:cs="Times New Roman"/>
                <w:bCs/>
                <w:szCs w:val="24"/>
              </w:rPr>
              <w:t>opisa djelatnosti citira se formulacija iz Uredbe o postupku davanja koncesijskog odobrenja na pomorskom dobru a ona glasi upravo komercijalno rekreacijski sadržaji te se u tom smislu ne može mijenjati.</w:t>
            </w:r>
          </w:p>
          <w:p w:rsidR="003A6814" w:rsidRPr="009149E7" w:rsidRDefault="00460ABB" w:rsidP="00F549D6">
            <w:pPr>
              <w:spacing w:after="120" w:line="240" w:lineRule="auto"/>
              <w:rPr>
                <w:rFonts w:cs="Times New Roman"/>
                <w:bCs/>
                <w:szCs w:val="24"/>
              </w:rPr>
            </w:pPr>
            <w:r w:rsidRPr="009149E7">
              <w:rPr>
                <w:rFonts w:cs="Times New Roman"/>
                <w:bCs/>
                <w:szCs w:val="24"/>
              </w:rPr>
              <w:t>Lokacija Puntižela – Hidrobaza je uređena i oplemenje</w:t>
            </w:r>
            <w:r w:rsidRPr="009149E7">
              <w:rPr>
                <w:rFonts w:cs="Times New Roman"/>
                <w:bCs/>
                <w:szCs w:val="24"/>
              </w:rPr>
              <w:t>na sadržajima za koje postoji interes građana Grada Pule</w:t>
            </w:r>
            <w:r w:rsidR="00597612" w:rsidRPr="009149E7">
              <w:rPr>
                <w:rFonts w:cs="Times New Roman"/>
                <w:bCs/>
                <w:szCs w:val="24"/>
              </w:rPr>
              <w:t>, a osobito se vodi računa da se prostor dodatno ne devastira.</w:t>
            </w:r>
          </w:p>
          <w:p w:rsidR="00566A7F" w:rsidRPr="009149E7" w:rsidRDefault="00566A7F" w:rsidP="00F549D6">
            <w:pPr>
              <w:spacing w:after="120" w:line="240" w:lineRule="auto"/>
              <w:rPr>
                <w:rFonts w:cs="Times New Roman"/>
                <w:bCs/>
                <w:szCs w:val="24"/>
              </w:rPr>
            </w:pPr>
          </w:p>
          <w:p w:rsidR="00566A7F" w:rsidRPr="00905D4D" w:rsidRDefault="00566A7F" w:rsidP="00F549D6">
            <w:pPr>
              <w:spacing w:after="120" w:line="240" w:lineRule="auto"/>
              <w:rPr>
                <w:rFonts w:cs="Times New Roman"/>
                <w:b/>
                <w:sz w:val="18"/>
                <w:szCs w:val="18"/>
              </w:rPr>
            </w:pPr>
          </w:p>
        </w:tc>
      </w:tr>
      <w:tr w:rsidR="00C75D5C" w:rsidTr="00526E2D">
        <w:trPr>
          <w:trHeight w:val="567"/>
        </w:trPr>
        <w:tc>
          <w:tcPr>
            <w:tcW w:w="544" w:type="dxa"/>
            <w:vAlign w:val="center"/>
          </w:tcPr>
          <w:p w:rsidR="00205A8E" w:rsidRPr="00905D4D" w:rsidRDefault="00460ABB" w:rsidP="00205A8E">
            <w:pPr>
              <w:spacing w:after="120" w:line="240" w:lineRule="auto"/>
              <w:rPr>
                <w:rFonts w:cs="Times New Roman"/>
                <w:b/>
                <w:sz w:val="18"/>
                <w:szCs w:val="18"/>
              </w:rPr>
            </w:pPr>
            <w:r w:rsidRPr="00905D4D">
              <w:rPr>
                <w:rFonts w:cs="Times New Roman"/>
                <w:b/>
                <w:sz w:val="18"/>
                <w:szCs w:val="18"/>
              </w:rPr>
              <w:t>2.</w:t>
            </w:r>
          </w:p>
        </w:tc>
        <w:tc>
          <w:tcPr>
            <w:tcW w:w="1583" w:type="dxa"/>
            <w:vAlign w:val="center"/>
          </w:tcPr>
          <w:p w:rsidR="00205A8E" w:rsidRPr="00FD54E0" w:rsidRDefault="00460ABB" w:rsidP="00205A8E">
            <w:pPr>
              <w:spacing w:after="120" w:line="240" w:lineRule="auto"/>
              <w:rPr>
                <w:rFonts w:cs="Times New Roman"/>
                <w:b/>
                <w:bCs/>
              </w:rPr>
            </w:pPr>
            <w:r>
              <w:rPr>
                <w:rFonts w:cs="Times New Roman"/>
                <w:b/>
                <w:bCs/>
                <w:sz w:val="22"/>
              </w:rPr>
              <w:t>Milan Nanezić</w:t>
            </w:r>
          </w:p>
        </w:tc>
        <w:tc>
          <w:tcPr>
            <w:tcW w:w="7479" w:type="dxa"/>
            <w:vAlign w:val="center"/>
          </w:tcPr>
          <w:p w:rsidR="00205A8E" w:rsidRPr="001832D9" w:rsidRDefault="00460ABB" w:rsidP="00205A8E">
            <w:pPr>
              <w:spacing w:after="0" w:line="240" w:lineRule="auto"/>
              <w:jc w:val="left"/>
              <w:rPr>
                <w:rFonts w:eastAsia="Times New Roman" w:cs="Times New Roman"/>
                <w:b/>
                <w:bCs/>
                <w:szCs w:val="24"/>
                <w:lang w:val="en-US"/>
              </w:rPr>
            </w:pPr>
            <w:r w:rsidRPr="001832D9">
              <w:rPr>
                <w:rFonts w:eastAsia="Times New Roman" w:cs="Times New Roman"/>
                <w:b/>
                <w:bCs/>
                <w:szCs w:val="24"/>
                <w:lang w:val="en-US"/>
              </w:rPr>
              <w:t>Zaprimljeno 06.06.2022.</w:t>
            </w:r>
          </w:p>
          <w:p w:rsidR="00205A8E" w:rsidRPr="001832D9" w:rsidRDefault="00460ABB" w:rsidP="00205A8E">
            <w:pPr>
              <w:pStyle w:val="NormalWeb"/>
              <w:spacing w:after="120" w:afterAutospacing="0"/>
              <w:jc w:val="both"/>
            </w:pPr>
            <w:r w:rsidRPr="001832D9">
              <w:t>Poštovani,</w:t>
            </w:r>
          </w:p>
          <w:p w:rsidR="00205A8E" w:rsidRPr="001832D9" w:rsidRDefault="00460ABB" w:rsidP="00205A8E">
            <w:pPr>
              <w:pStyle w:val="NormalWeb"/>
              <w:spacing w:after="120" w:afterAutospacing="0"/>
              <w:jc w:val="both"/>
            </w:pPr>
            <w:r w:rsidRPr="001832D9">
              <w:t xml:space="preserve">Narečeno savjetovanje nije  sukladno zakonu, jer ne traje 30 dana, a niti ne </w:t>
            </w:r>
            <w:r w:rsidRPr="001832D9">
              <w:t>postoji osnova za skraćeno trajanje. Uz sve navedeno  u dokumentaciji o javnom savjetovanju niste dostavili obrazloženje skraćenog trajanja savjetovanja. </w:t>
            </w:r>
          </w:p>
          <w:p w:rsidR="00205A8E" w:rsidRPr="001832D9" w:rsidRDefault="00460ABB" w:rsidP="00205A8E">
            <w:pPr>
              <w:pStyle w:val="NormalWeb"/>
              <w:spacing w:after="120" w:afterAutospacing="0"/>
              <w:jc w:val="both"/>
            </w:pPr>
            <w:r w:rsidRPr="001832D9">
              <w:t xml:space="preserve">Savjetovanje s javnošću, onako kako je to propisano Zakonom o pravu na </w:t>
            </w:r>
            <w:r w:rsidRPr="001832D9">
              <w:lastRenderedPageBreak/>
              <w:t xml:space="preserve">pristup informacija, traje 30 </w:t>
            </w:r>
            <w:r w:rsidRPr="001832D9">
              <w:t>dana.</w:t>
            </w:r>
          </w:p>
          <w:p w:rsidR="00205A8E" w:rsidRPr="001832D9" w:rsidRDefault="00460ABB" w:rsidP="00205A8E">
            <w:pPr>
              <w:pStyle w:val="NormalWeb"/>
              <w:spacing w:after="120" w:afterAutospacing="0"/>
              <w:jc w:val="both"/>
            </w:pPr>
            <w:r w:rsidRPr="001832D9">
              <w:rPr>
                <w:u w:val="single"/>
              </w:rPr>
              <w:t>Savjetovanje može trajati kraće samo onda kad su nastupili izvanredni uvjeti radi kojih nije moguće provesti savjetovanje u zakonskom roku te u tom slučaju je razloge za skraćeno trajanje savjetovanja nužno jasno obrazložiti u obrazloženju uz dokumen</w:t>
            </w:r>
            <w:r w:rsidRPr="001832D9">
              <w:rPr>
                <w:u w:val="single"/>
              </w:rPr>
              <w:t>t koji se stavlja na savjetovanje</w:t>
            </w:r>
            <w:r w:rsidRPr="001832D9">
              <w:t>.</w:t>
            </w:r>
          </w:p>
          <w:p w:rsidR="00205A8E" w:rsidRPr="001832D9" w:rsidRDefault="00460ABB" w:rsidP="00205A8E">
            <w:pPr>
              <w:pStyle w:val="NormalWeb"/>
              <w:spacing w:after="120" w:afterAutospacing="0"/>
              <w:jc w:val="both"/>
            </w:pPr>
            <w:r w:rsidRPr="001832D9">
              <w:rPr>
                <w:u w:val="single"/>
              </w:rPr>
              <w:t xml:space="preserve">Izvanredne okolnosti mogu biti primjerice potreba ispunjavanja uvjeta za korištenje EU fondova ili drugih obveza po međunarodnim ugovorima ili elementarna nepogoda. </w:t>
            </w:r>
          </w:p>
          <w:p w:rsidR="00205A8E" w:rsidRPr="001832D9" w:rsidRDefault="00460ABB" w:rsidP="00205A8E">
            <w:pPr>
              <w:pStyle w:val="NormalWeb"/>
              <w:spacing w:after="120" w:afterAutospacing="0"/>
              <w:jc w:val="both"/>
            </w:pPr>
            <w:r w:rsidRPr="001832D9">
              <w:t>Puko kašnjenje u izradi nacrta ne može se smatrati opra</w:t>
            </w:r>
            <w:r w:rsidRPr="001832D9">
              <w:t xml:space="preserve">vdanim razlogom za skraćivanje vremena trajanja savjetovanja. Drugim riječima, skraćeno trajanje savjetovanja nije prihvatljivo ako se ono događa uslijed nekvalitetnog planiranja rada u tijelu. Također je važno razlučiti da rok od 15 dana koji se spominje </w:t>
            </w:r>
            <w:r w:rsidRPr="001832D9">
              <w:t>u Kodeksu savjetovanja sa zainteresiranom javnošću u postupcima donošenja zakona, drugih propisa i akata, nije više mjerodavan, s obzirom da je zakonom utvrđen rok od 30 dana.“</w:t>
            </w:r>
          </w:p>
          <w:p w:rsidR="00205A8E" w:rsidRPr="001832D9" w:rsidRDefault="00205A8E" w:rsidP="00205A8E">
            <w:pPr>
              <w:spacing w:after="0" w:line="240" w:lineRule="auto"/>
              <w:jc w:val="left"/>
              <w:rPr>
                <w:rFonts w:eastAsia="Times New Roman" w:cs="Times New Roman"/>
                <w:szCs w:val="24"/>
                <w:lang w:val="en-US"/>
              </w:rPr>
            </w:pPr>
          </w:p>
        </w:tc>
        <w:tc>
          <w:tcPr>
            <w:tcW w:w="5244" w:type="dxa"/>
            <w:vAlign w:val="center"/>
          </w:tcPr>
          <w:p w:rsidR="003F2A71" w:rsidRDefault="00460ABB" w:rsidP="000331F9">
            <w:pPr>
              <w:spacing w:after="0" w:line="240" w:lineRule="auto"/>
              <w:jc w:val="left"/>
              <w:rPr>
                <w:rFonts w:eastAsia="Times New Roman" w:cs="Times New Roman"/>
                <w:szCs w:val="24"/>
                <w:lang w:eastAsia="hr-HR"/>
              </w:rPr>
            </w:pPr>
            <w:r>
              <w:rPr>
                <w:rFonts w:eastAsia="Times New Roman" w:cs="Times New Roman"/>
                <w:szCs w:val="24"/>
                <w:lang w:eastAsia="hr-HR"/>
              </w:rPr>
              <w:lastRenderedPageBreak/>
              <w:t>NE PRIHVAĆA SE</w:t>
            </w:r>
          </w:p>
          <w:p w:rsidR="000331F9" w:rsidRDefault="00460ABB" w:rsidP="000331F9">
            <w:pPr>
              <w:spacing w:after="0" w:line="240" w:lineRule="auto"/>
              <w:jc w:val="left"/>
              <w:rPr>
                <w:rFonts w:eastAsia="Times New Roman" w:cs="Times New Roman"/>
                <w:szCs w:val="24"/>
                <w:lang w:eastAsia="hr-HR"/>
              </w:rPr>
            </w:pPr>
            <w:r>
              <w:rPr>
                <w:rFonts w:eastAsia="Times New Roman" w:cs="Times New Roman"/>
                <w:szCs w:val="24"/>
                <w:lang w:eastAsia="hr-HR"/>
              </w:rPr>
              <w:t>U pogledu roka za provedbu savjetovanja s javnošću, Zakon propi</w:t>
            </w:r>
            <w:r>
              <w:rPr>
                <w:rFonts w:eastAsia="Times New Roman" w:cs="Times New Roman"/>
                <w:szCs w:val="24"/>
                <w:lang w:eastAsia="hr-HR"/>
              </w:rPr>
              <w:t>suje da se savjetovanje provodi u pravilu u trajanju od 30 dana (članak 11., stavak 3.). U konkretnom slučaju, opravdani razlog za savjetovanje sa zainteresiranom javnošću u pogledu izmjena i dopuna plana upravljanja pomorskim dobrom na području Grada Pule</w:t>
            </w:r>
            <w:r>
              <w:rPr>
                <w:rFonts w:eastAsia="Times New Roman" w:cs="Times New Roman"/>
                <w:szCs w:val="24"/>
                <w:lang w:eastAsia="hr-HR"/>
              </w:rPr>
              <w:t xml:space="preserve"> za 2022. godinu u kraćem roku od 30 dana leži u činjenici da je sam postupak savjetovanja osnovnog </w:t>
            </w:r>
            <w:r>
              <w:rPr>
                <w:rFonts w:eastAsia="Times New Roman" w:cs="Times New Roman"/>
                <w:szCs w:val="24"/>
                <w:lang w:eastAsia="hr-HR"/>
              </w:rPr>
              <w:lastRenderedPageBreak/>
              <w:t>akta trajao u zakonskom roku, da se predmetna izmjena i dopuna osnovnog akta odnosi na minimalne izmjene, a samo donošenje je od značaja za proračunski cikl</w:t>
            </w:r>
            <w:r>
              <w:rPr>
                <w:rFonts w:eastAsia="Times New Roman" w:cs="Times New Roman"/>
                <w:szCs w:val="24"/>
                <w:lang w:eastAsia="hr-HR"/>
              </w:rPr>
              <w:t>us a uzimajući u obzir da je proces savjetovanja bio dostupan i na raspolaganju svim dionicima unutar razumnog vremenskog roka od 15 dana, slijedom čega su postojali objektivni razlozi za skraćenje postupka savjetovanja.</w:t>
            </w:r>
          </w:p>
          <w:p w:rsidR="000331F9" w:rsidRDefault="000331F9" w:rsidP="000331F9">
            <w:pPr>
              <w:spacing w:after="120" w:line="240" w:lineRule="auto"/>
              <w:rPr>
                <w:rFonts w:cs="Times New Roman"/>
                <w:b/>
                <w:sz w:val="18"/>
                <w:szCs w:val="18"/>
              </w:rPr>
            </w:pPr>
          </w:p>
          <w:p w:rsidR="00205A8E" w:rsidRPr="00905D4D" w:rsidRDefault="00205A8E" w:rsidP="00205A8E">
            <w:pPr>
              <w:spacing w:after="120" w:line="240" w:lineRule="auto"/>
              <w:rPr>
                <w:rFonts w:cs="Times New Roman"/>
                <w:b/>
                <w:sz w:val="18"/>
                <w:szCs w:val="18"/>
              </w:rPr>
            </w:pPr>
          </w:p>
          <w:p w:rsidR="00205A8E" w:rsidRPr="00905D4D" w:rsidRDefault="00205A8E" w:rsidP="00205A8E">
            <w:pPr>
              <w:spacing w:after="120" w:line="240" w:lineRule="auto"/>
              <w:rPr>
                <w:rFonts w:cs="Times New Roman"/>
                <w:b/>
                <w:sz w:val="18"/>
                <w:szCs w:val="18"/>
              </w:rPr>
            </w:pPr>
          </w:p>
        </w:tc>
      </w:tr>
      <w:tr w:rsidR="00C75D5C" w:rsidTr="00526E2D">
        <w:trPr>
          <w:trHeight w:val="567"/>
        </w:trPr>
        <w:tc>
          <w:tcPr>
            <w:tcW w:w="544" w:type="dxa"/>
            <w:shd w:val="clear" w:color="auto" w:fill="auto"/>
            <w:vAlign w:val="center"/>
          </w:tcPr>
          <w:p w:rsidR="00205A8E" w:rsidRPr="00905D4D" w:rsidRDefault="00460ABB" w:rsidP="00205A8E">
            <w:pPr>
              <w:spacing w:after="120" w:line="240" w:lineRule="auto"/>
              <w:rPr>
                <w:rFonts w:cs="Times New Roman"/>
                <w:b/>
                <w:sz w:val="18"/>
                <w:szCs w:val="18"/>
              </w:rPr>
            </w:pPr>
            <w:r w:rsidRPr="00905D4D">
              <w:rPr>
                <w:rFonts w:cs="Times New Roman"/>
                <w:b/>
                <w:sz w:val="18"/>
                <w:szCs w:val="18"/>
              </w:rPr>
              <w:lastRenderedPageBreak/>
              <w:t>3.</w:t>
            </w:r>
          </w:p>
        </w:tc>
        <w:tc>
          <w:tcPr>
            <w:tcW w:w="1583" w:type="dxa"/>
            <w:shd w:val="clear" w:color="auto" w:fill="auto"/>
            <w:vAlign w:val="center"/>
          </w:tcPr>
          <w:p w:rsidR="00205A8E" w:rsidRPr="005B004B" w:rsidRDefault="00460ABB" w:rsidP="00205A8E">
            <w:pPr>
              <w:spacing w:after="0" w:line="240" w:lineRule="auto"/>
              <w:jc w:val="left"/>
              <w:rPr>
                <w:rFonts w:cs="Times New Roman"/>
                <w:b/>
                <w:bCs/>
              </w:rPr>
            </w:pPr>
            <w:r>
              <w:rPr>
                <w:rFonts w:cs="Times New Roman"/>
                <w:b/>
                <w:bCs/>
                <w:sz w:val="22"/>
              </w:rPr>
              <w:t>Marko Ivanić</w:t>
            </w:r>
          </w:p>
        </w:tc>
        <w:tc>
          <w:tcPr>
            <w:tcW w:w="7479" w:type="dxa"/>
            <w:shd w:val="clear" w:color="auto" w:fill="auto"/>
            <w:vAlign w:val="center"/>
          </w:tcPr>
          <w:p w:rsidR="00205A8E" w:rsidRPr="001832D9" w:rsidRDefault="00460ABB" w:rsidP="00205A8E">
            <w:pPr>
              <w:spacing w:after="0" w:line="240" w:lineRule="auto"/>
              <w:jc w:val="left"/>
              <w:rPr>
                <w:rFonts w:eastAsia="Times New Roman" w:cs="Times New Roman"/>
                <w:b/>
                <w:bCs/>
                <w:szCs w:val="24"/>
                <w:lang w:val="en-US"/>
              </w:rPr>
            </w:pPr>
            <w:r w:rsidRPr="001832D9">
              <w:rPr>
                <w:rFonts w:eastAsia="Times New Roman" w:cs="Times New Roman"/>
                <w:b/>
                <w:bCs/>
                <w:szCs w:val="24"/>
                <w:lang w:val="en-US"/>
              </w:rPr>
              <w:t>Zaprimljeno 0</w:t>
            </w:r>
            <w:r w:rsidR="001832D9" w:rsidRPr="001832D9">
              <w:rPr>
                <w:rFonts w:eastAsia="Times New Roman" w:cs="Times New Roman"/>
                <w:b/>
                <w:bCs/>
                <w:szCs w:val="24"/>
                <w:lang w:val="en-US"/>
              </w:rPr>
              <w:t>7</w:t>
            </w:r>
            <w:r w:rsidRPr="001832D9">
              <w:rPr>
                <w:rFonts w:eastAsia="Times New Roman" w:cs="Times New Roman"/>
                <w:b/>
                <w:bCs/>
                <w:szCs w:val="24"/>
                <w:lang w:val="en-US"/>
              </w:rPr>
              <w:t>.06.2022.</w:t>
            </w:r>
          </w:p>
          <w:p w:rsidR="001832D9" w:rsidRPr="001832D9" w:rsidRDefault="00460ABB" w:rsidP="001832D9">
            <w:pPr>
              <w:spacing w:after="0" w:line="240" w:lineRule="auto"/>
              <w:jc w:val="left"/>
              <w:rPr>
                <w:rFonts w:eastAsia="Times New Roman" w:cs="Times New Roman"/>
                <w:szCs w:val="24"/>
                <w:lang w:val="en-US"/>
              </w:rPr>
            </w:pPr>
            <w:r w:rsidRPr="001832D9">
              <w:rPr>
                <w:rFonts w:eastAsia="Times New Roman" w:cs="Times New Roman"/>
                <w:szCs w:val="24"/>
                <w:lang w:val="en-US"/>
              </w:rPr>
              <w:t>1. Javno savjetovanje zakonom je propisano na 30 dana, dok se ovo svjetovanje provodi od 03.lipnja 2022. godine do 17.lipnja 2022. godine što je manje od zakonski propisanog roka. Zakon propisuje skraćeno savjetovanje samo u izvanrednim  okolnost</w:t>
            </w:r>
            <w:r w:rsidRPr="001832D9">
              <w:rPr>
                <w:rFonts w:eastAsia="Times New Roman" w:cs="Times New Roman"/>
                <w:szCs w:val="24"/>
                <w:lang w:val="en-US"/>
              </w:rPr>
              <w:t>ima koje ovdje nisu prisutne. Kašnjenje u izradi nacrta plana ne može se smatrati opravdanim razlogom za sraćivanje trajanja savjetovanja. Ovdje se vidi da je kašnjenje u izradi nacrta dovelo do skraćivanja trajanja savjetovanja. Isto tako ukoliko se usvoj</w:t>
            </w:r>
            <w:r w:rsidRPr="001832D9">
              <w:rPr>
                <w:rFonts w:eastAsia="Times New Roman" w:cs="Times New Roman"/>
                <w:szCs w:val="24"/>
                <w:lang w:val="en-US"/>
              </w:rPr>
              <w:t>e izmjena odluke, a ukoliko netko od građana podnese odluku na ocijenjivanje ustavnosti, odluka će pasti na ustavnom sudu i dovesti Grad Pulu u velike probleme.</w:t>
            </w:r>
          </w:p>
          <w:p w:rsidR="001832D9" w:rsidRPr="001832D9" w:rsidRDefault="00460ABB" w:rsidP="001832D9">
            <w:pPr>
              <w:spacing w:after="0" w:line="240" w:lineRule="auto"/>
              <w:jc w:val="left"/>
              <w:rPr>
                <w:rFonts w:eastAsia="Times New Roman" w:cs="Times New Roman"/>
                <w:szCs w:val="24"/>
                <w:lang w:val="en-US"/>
              </w:rPr>
            </w:pPr>
            <w:r w:rsidRPr="001832D9">
              <w:rPr>
                <w:rFonts w:eastAsia="Times New Roman" w:cs="Times New Roman"/>
                <w:szCs w:val="24"/>
                <w:lang w:val="en-US"/>
              </w:rPr>
              <w:t> </w:t>
            </w:r>
          </w:p>
          <w:p w:rsidR="001832D9" w:rsidRPr="001832D9" w:rsidRDefault="00460ABB" w:rsidP="001832D9">
            <w:pPr>
              <w:spacing w:after="0" w:line="240" w:lineRule="auto"/>
              <w:jc w:val="left"/>
              <w:rPr>
                <w:rFonts w:eastAsia="Times New Roman" w:cs="Times New Roman"/>
                <w:szCs w:val="24"/>
                <w:lang w:val="en-US"/>
              </w:rPr>
            </w:pPr>
            <w:r w:rsidRPr="001832D9">
              <w:rPr>
                <w:rFonts w:eastAsia="Times New Roman" w:cs="Times New Roman"/>
                <w:szCs w:val="24"/>
                <w:lang w:val="en-US"/>
              </w:rPr>
              <w:t xml:space="preserve">2. U članku 2 treba dodati stavak 1.9.3. koji bio izgledao " Zbog zaštite pučanstva od buke, </w:t>
            </w:r>
            <w:r w:rsidRPr="001832D9">
              <w:rPr>
                <w:rFonts w:eastAsia="Times New Roman" w:cs="Times New Roman"/>
                <w:szCs w:val="24"/>
                <w:lang w:val="en-US"/>
              </w:rPr>
              <w:t xml:space="preserve">ukoliko se organizira događaj gdje se korisiti audio- </w:t>
            </w:r>
            <w:r w:rsidRPr="001832D9">
              <w:rPr>
                <w:rFonts w:eastAsia="Times New Roman" w:cs="Times New Roman"/>
                <w:szCs w:val="24"/>
                <w:lang w:val="en-US"/>
              </w:rPr>
              <w:lastRenderedPageBreak/>
              <w:t>zvučna komponenta i taj događaja traje nakon 21:00 sati, organizator događaja đužan je putem Grada Pule (Upravni odjel za kulturu i razvoj civilnog društva) , a na izričito osobni zahtjev  osoba koje im</w:t>
            </w:r>
            <w:r w:rsidRPr="001832D9">
              <w:rPr>
                <w:rFonts w:eastAsia="Times New Roman" w:cs="Times New Roman"/>
                <w:szCs w:val="24"/>
                <w:lang w:val="en-US"/>
              </w:rPr>
              <w:t>aju prijavljeno boravište i prebivalište na područuju radijusa 1.000 metara od lokacije Hidrobaza, isplatiti osobama koje su to zatražile naknadu u iznosu od 750,00 kuna po danu događaja.</w:t>
            </w:r>
          </w:p>
          <w:p w:rsidR="001832D9" w:rsidRPr="001832D9" w:rsidRDefault="00460ABB" w:rsidP="001832D9">
            <w:pPr>
              <w:spacing w:after="0" w:line="240" w:lineRule="auto"/>
              <w:jc w:val="left"/>
              <w:rPr>
                <w:rFonts w:eastAsia="Times New Roman" w:cs="Times New Roman"/>
                <w:szCs w:val="24"/>
                <w:lang w:val="en-US"/>
              </w:rPr>
            </w:pPr>
            <w:r w:rsidRPr="001832D9">
              <w:rPr>
                <w:rFonts w:eastAsia="Times New Roman" w:cs="Times New Roman"/>
                <w:szCs w:val="24"/>
                <w:lang w:val="en-US"/>
              </w:rPr>
              <w:t> </w:t>
            </w:r>
          </w:p>
          <w:p w:rsidR="001832D9" w:rsidRPr="001832D9" w:rsidRDefault="00460ABB" w:rsidP="001832D9">
            <w:pPr>
              <w:spacing w:after="0" w:line="240" w:lineRule="auto"/>
              <w:jc w:val="left"/>
              <w:rPr>
                <w:rFonts w:eastAsia="Times New Roman" w:cs="Times New Roman"/>
                <w:szCs w:val="24"/>
                <w:lang w:val="en-US"/>
              </w:rPr>
            </w:pPr>
            <w:r w:rsidRPr="001832D9">
              <w:rPr>
                <w:rFonts w:eastAsia="Times New Roman" w:cs="Times New Roman"/>
                <w:szCs w:val="24"/>
                <w:lang w:val="en-US"/>
              </w:rPr>
              <w:t>S osobitim poštovanjem,</w:t>
            </w:r>
          </w:p>
          <w:p w:rsidR="001832D9" w:rsidRPr="001832D9" w:rsidRDefault="00460ABB" w:rsidP="001832D9">
            <w:pPr>
              <w:spacing w:after="0" w:line="240" w:lineRule="auto"/>
              <w:jc w:val="left"/>
              <w:rPr>
                <w:rFonts w:eastAsia="Times New Roman" w:cs="Times New Roman"/>
                <w:szCs w:val="24"/>
                <w:lang w:val="en-US"/>
              </w:rPr>
            </w:pPr>
            <w:r w:rsidRPr="001832D9">
              <w:rPr>
                <w:rFonts w:eastAsia="Times New Roman" w:cs="Times New Roman"/>
                <w:szCs w:val="24"/>
                <w:lang w:val="en-US"/>
              </w:rPr>
              <w:t>Marko Ivanić</w:t>
            </w:r>
          </w:p>
          <w:p w:rsidR="00205A8E" w:rsidRPr="001832D9" w:rsidRDefault="00205A8E" w:rsidP="00205A8E">
            <w:pPr>
              <w:spacing w:after="0" w:line="240" w:lineRule="auto"/>
              <w:jc w:val="left"/>
              <w:rPr>
                <w:rFonts w:cs="Times New Roman"/>
                <w:color w:val="FF0000"/>
                <w:szCs w:val="24"/>
                <w:lang w:val="en-US"/>
              </w:rPr>
            </w:pPr>
          </w:p>
        </w:tc>
        <w:tc>
          <w:tcPr>
            <w:tcW w:w="5244" w:type="dxa"/>
            <w:shd w:val="clear" w:color="auto" w:fill="auto"/>
            <w:vAlign w:val="center"/>
          </w:tcPr>
          <w:p w:rsidR="003F2A71" w:rsidRDefault="00460ABB" w:rsidP="009149E7">
            <w:pPr>
              <w:spacing w:after="0" w:line="240" w:lineRule="auto"/>
              <w:jc w:val="left"/>
              <w:rPr>
                <w:rFonts w:eastAsia="Times New Roman" w:cs="Times New Roman"/>
                <w:szCs w:val="24"/>
                <w:lang w:eastAsia="hr-HR"/>
              </w:rPr>
            </w:pPr>
            <w:r>
              <w:rPr>
                <w:rFonts w:eastAsia="Times New Roman" w:cs="Times New Roman"/>
                <w:szCs w:val="24"/>
                <w:lang w:eastAsia="hr-HR"/>
              </w:rPr>
              <w:lastRenderedPageBreak/>
              <w:t xml:space="preserve">NE </w:t>
            </w:r>
            <w:r w:rsidR="00640549">
              <w:rPr>
                <w:rFonts w:eastAsia="Times New Roman" w:cs="Times New Roman"/>
                <w:szCs w:val="24"/>
                <w:lang w:eastAsia="hr-HR"/>
              </w:rPr>
              <w:t>PRIHVAĆA SE</w:t>
            </w:r>
          </w:p>
          <w:p w:rsidR="009149E7" w:rsidRPr="00C86705" w:rsidRDefault="00460ABB" w:rsidP="009149E7">
            <w:pPr>
              <w:spacing w:after="0" w:line="240" w:lineRule="auto"/>
              <w:jc w:val="left"/>
              <w:rPr>
                <w:rFonts w:eastAsia="Times New Roman" w:cs="Times New Roman"/>
                <w:szCs w:val="24"/>
                <w:lang w:eastAsia="hr-HR"/>
              </w:rPr>
            </w:pPr>
            <w:r w:rsidRPr="00C86705">
              <w:rPr>
                <w:rFonts w:eastAsia="Times New Roman" w:cs="Times New Roman"/>
                <w:szCs w:val="24"/>
                <w:lang w:eastAsia="hr-HR"/>
              </w:rPr>
              <w:t>U pogledu roka za provedbu savjetovanja s javnošću, Zakon propisuje da se savjetovanje provodi u pravilu u trajanju od 30 dana (članak 11., stavak 3.). U konkretnom slučaju, opravdani razlog za savjetovanje sa zainteresiranom javnošću u pogledu izmjena i d</w:t>
            </w:r>
            <w:r w:rsidRPr="00C86705">
              <w:rPr>
                <w:rFonts w:eastAsia="Times New Roman" w:cs="Times New Roman"/>
                <w:szCs w:val="24"/>
                <w:lang w:eastAsia="hr-HR"/>
              </w:rPr>
              <w:t xml:space="preserve">opuna plana upravljanja pomorskim dobrom na području </w:t>
            </w:r>
            <w:r>
              <w:rPr>
                <w:rFonts w:eastAsia="Times New Roman" w:cs="Times New Roman"/>
                <w:szCs w:val="24"/>
                <w:lang w:eastAsia="hr-HR"/>
              </w:rPr>
              <w:t>G</w:t>
            </w:r>
            <w:r w:rsidRPr="00C86705">
              <w:rPr>
                <w:rFonts w:eastAsia="Times New Roman" w:cs="Times New Roman"/>
                <w:szCs w:val="24"/>
                <w:lang w:eastAsia="hr-HR"/>
              </w:rPr>
              <w:t xml:space="preserve">rada </w:t>
            </w:r>
            <w:r>
              <w:rPr>
                <w:rFonts w:eastAsia="Times New Roman" w:cs="Times New Roman"/>
                <w:szCs w:val="24"/>
                <w:lang w:eastAsia="hr-HR"/>
              </w:rPr>
              <w:t>P</w:t>
            </w:r>
            <w:r w:rsidRPr="00C86705">
              <w:rPr>
                <w:rFonts w:eastAsia="Times New Roman" w:cs="Times New Roman"/>
                <w:szCs w:val="24"/>
                <w:lang w:eastAsia="hr-HR"/>
              </w:rPr>
              <w:t xml:space="preserve">ule za 2022. godinu u kraćem roku od 30 dana leži u činjenici da je sam postupak savjetovanja osnovnog akta trajao u zakonskom roku, da se predmetna izmjena i dopuna osnovnog akta odnosi na </w:t>
            </w:r>
            <w:r>
              <w:rPr>
                <w:rFonts w:eastAsia="Times New Roman" w:cs="Times New Roman"/>
                <w:szCs w:val="24"/>
                <w:lang w:eastAsia="hr-HR"/>
              </w:rPr>
              <w:t>minima</w:t>
            </w:r>
            <w:r>
              <w:rPr>
                <w:rFonts w:eastAsia="Times New Roman" w:cs="Times New Roman"/>
                <w:szCs w:val="24"/>
                <w:lang w:eastAsia="hr-HR"/>
              </w:rPr>
              <w:t>lne izmjene, a samo donošenje</w:t>
            </w:r>
            <w:r w:rsidRPr="00C86705">
              <w:rPr>
                <w:rFonts w:eastAsia="Times New Roman" w:cs="Times New Roman"/>
                <w:szCs w:val="24"/>
                <w:lang w:eastAsia="hr-HR"/>
              </w:rPr>
              <w:t xml:space="preserve"> je od značaja za proračunski ciklus</w:t>
            </w:r>
            <w:r>
              <w:rPr>
                <w:rFonts w:eastAsia="Times New Roman" w:cs="Times New Roman"/>
                <w:szCs w:val="24"/>
                <w:lang w:eastAsia="hr-HR"/>
              </w:rPr>
              <w:t xml:space="preserve"> a</w:t>
            </w:r>
            <w:r w:rsidRPr="00C86705">
              <w:rPr>
                <w:rFonts w:eastAsia="Times New Roman" w:cs="Times New Roman"/>
                <w:szCs w:val="24"/>
                <w:lang w:eastAsia="hr-HR"/>
              </w:rPr>
              <w:t xml:space="preserve"> uzimajući u obzir da je </w:t>
            </w:r>
            <w:r w:rsidRPr="00C86705">
              <w:rPr>
                <w:rFonts w:eastAsia="Times New Roman" w:cs="Times New Roman"/>
                <w:szCs w:val="24"/>
                <w:lang w:eastAsia="hr-HR"/>
              </w:rPr>
              <w:lastRenderedPageBreak/>
              <w:t>proces savjetovanja bio dostupan i na raspolaganju svim dionicima unutar razumnog vremenskog roka od 15 dana, slijedom čega su postojali objektivni razlozi za skrać</w:t>
            </w:r>
            <w:r w:rsidRPr="00C86705">
              <w:rPr>
                <w:rFonts w:eastAsia="Times New Roman" w:cs="Times New Roman"/>
                <w:szCs w:val="24"/>
                <w:lang w:eastAsia="hr-HR"/>
              </w:rPr>
              <w:t>enje postupka savjetovanja.</w:t>
            </w:r>
          </w:p>
          <w:p w:rsidR="009149E7" w:rsidRPr="00905D4D" w:rsidRDefault="009149E7" w:rsidP="009149E7">
            <w:pPr>
              <w:spacing w:after="120" w:line="240" w:lineRule="auto"/>
              <w:rPr>
                <w:rFonts w:cs="Times New Roman"/>
                <w:b/>
                <w:sz w:val="18"/>
                <w:szCs w:val="18"/>
              </w:rPr>
            </w:pPr>
          </w:p>
          <w:p w:rsidR="00205A8E" w:rsidRPr="00905D4D" w:rsidRDefault="00460ABB" w:rsidP="00205A8E">
            <w:pPr>
              <w:spacing w:after="120" w:line="240" w:lineRule="auto"/>
              <w:rPr>
                <w:rFonts w:cs="Times New Roman"/>
                <w:b/>
                <w:sz w:val="18"/>
                <w:szCs w:val="18"/>
              </w:rPr>
            </w:pPr>
            <w:r>
              <w:t>U drugom djelu pitanja, ne prihvaća se obzirom da je u Gradu Puli na snazi Odluka o lokacijama i uvjetima za održavanje javnih skupova i manifestacija na području grada Pule pri održavanju kojih postoji mogućnost prekoračenja d</w:t>
            </w:r>
            <w:r>
              <w:t>opuštenih razina buke („Službene novine” Grada Pule 11/13) kojom je regulirano dozvoljavanje prekoračenja razine buke.</w:t>
            </w:r>
          </w:p>
          <w:p w:rsidR="00205A8E" w:rsidRPr="00905D4D" w:rsidRDefault="00205A8E" w:rsidP="00205A8E">
            <w:pPr>
              <w:spacing w:after="120" w:line="240" w:lineRule="auto"/>
              <w:rPr>
                <w:rFonts w:cs="Times New Roman"/>
                <w:b/>
                <w:sz w:val="18"/>
                <w:szCs w:val="18"/>
              </w:rPr>
            </w:pPr>
          </w:p>
          <w:p w:rsidR="00205A8E" w:rsidRPr="00905D4D" w:rsidRDefault="00205A8E" w:rsidP="00205A8E">
            <w:pPr>
              <w:spacing w:after="120" w:line="240" w:lineRule="auto"/>
              <w:rPr>
                <w:rFonts w:cs="Times New Roman"/>
                <w:b/>
                <w:sz w:val="18"/>
                <w:szCs w:val="18"/>
              </w:rPr>
            </w:pPr>
          </w:p>
        </w:tc>
      </w:tr>
      <w:tr w:rsidR="00C75D5C" w:rsidTr="00526E2D">
        <w:trPr>
          <w:trHeight w:val="567"/>
        </w:trPr>
        <w:tc>
          <w:tcPr>
            <w:tcW w:w="544" w:type="dxa"/>
            <w:vAlign w:val="center"/>
          </w:tcPr>
          <w:p w:rsidR="00205A8E" w:rsidRPr="00905D4D" w:rsidRDefault="00460ABB" w:rsidP="00205A8E">
            <w:pPr>
              <w:spacing w:after="120" w:line="240" w:lineRule="auto"/>
              <w:rPr>
                <w:rFonts w:cs="Times New Roman"/>
                <w:b/>
                <w:sz w:val="18"/>
                <w:szCs w:val="18"/>
              </w:rPr>
            </w:pPr>
            <w:r w:rsidRPr="00905D4D">
              <w:rPr>
                <w:rFonts w:cs="Times New Roman"/>
                <w:b/>
                <w:sz w:val="18"/>
                <w:szCs w:val="18"/>
              </w:rPr>
              <w:lastRenderedPageBreak/>
              <w:t>4.</w:t>
            </w:r>
          </w:p>
        </w:tc>
        <w:tc>
          <w:tcPr>
            <w:tcW w:w="1583" w:type="dxa"/>
            <w:vAlign w:val="center"/>
          </w:tcPr>
          <w:p w:rsidR="00645130" w:rsidRPr="00EB1FC5" w:rsidRDefault="00460ABB" w:rsidP="00645130">
            <w:pPr>
              <w:shd w:val="clear" w:color="auto" w:fill="FFFFFF"/>
              <w:spacing w:after="0" w:line="240" w:lineRule="auto"/>
              <w:jc w:val="left"/>
              <w:rPr>
                <w:rFonts w:eastAsia="Times New Roman" w:cs="Times New Roman"/>
                <w:b/>
                <w:bCs/>
                <w:color w:val="212121"/>
                <w:szCs w:val="24"/>
                <w:lang w:val="en-US"/>
              </w:rPr>
            </w:pPr>
            <w:r w:rsidRPr="00EB1FC5">
              <w:rPr>
                <w:rFonts w:eastAsia="Times New Roman" w:cs="Times New Roman"/>
                <w:b/>
                <w:bCs/>
                <w:color w:val="212121"/>
                <w:szCs w:val="24"/>
                <w:lang w:val="en-US"/>
              </w:rPr>
              <w:t>Marko Brozović</w:t>
            </w:r>
          </w:p>
          <w:p w:rsidR="00205A8E" w:rsidRPr="00EB1FC5" w:rsidRDefault="00205A8E" w:rsidP="00205A8E">
            <w:pPr>
              <w:spacing w:after="0" w:line="240" w:lineRule="auto"/>
              <w:jc w:val="left"/>
              <w:rPr>
                <w:rFonts w:cs="Times New Roman"/>
                <w:b/>
                <w:bCs/>
              </w:rPr>
            </w:pPr>
          </w:p>
        </w:tc>
        <w:tc>
          <w:tcPr>
            <w:tcW w:w="7479" w:type="dxa"/>
            <w:vAlign w:val="center"/>
          </w:tcPr>
          <w:p w:rsidR="00205A8E" w:rsidRPr="009C6904" w:rsidRDefault="00460ABB" w:rsidP="00205A8E">
            <w:pPr>
              <w:spacing w:after="0" w:line="240" w:lineRule="auto"/>
              <w:jc w:val="left"/>
              <w:rPr>
                <w:rFonts w:eastAsia="Times New Roman" w:cs="Times New Roman"/>
                <w:b/>
                <w:bCs/>
                <w:szCs w:val="24"/>
                <w:lang w:val="en-US"/>
              </w:rPr>
            </w:pPr>
            <w:r w:rsidRPr="009C6904">
              <w:rPr>
                <w:rFonts w:eastAsia="Times New Roman" w:cs="Times New Roman"/>
                <w:b/>
                <w:bCs/>
                <w:szCs w:val="24"/>
                <w:lang w:val="en-US"/>
              </w:rPr>
              <w:t>Zaprimljeno 0</w:t>
            </w:r>
            <w:r w:rsidR="00645130">
              <w:rPr>
                <w:rFonts w:eastAsia="Times New Roman" w:cs="Times New Roman"/>
                <w:b/>
                <w:bCs/>
                <w:szCs w:val="24"/>
                <w:lang w:val="en-US"/>
              </w:rPr>
              <w:t>7</w:t>
            </w:r>
            <w:r w:rsidRPr="009C6904">
              <w:rPr>
                <w:rFonts w:eastAsia="Times New Roman" w:cs="Times New Roman"/>
                <w:b/>
                <w:bCs/>
                <w:szCs w:val="24"/>
                <w:lang w:val="en-US"/>
              </w:rPr>
              <w:t>.</w:t>
            </w:r>
            <w:r>
              <w:rPr>
                <w:rFonts w:eastAsia="Times New Roman" w:cs="Times New Roman"/>
                <w:b/>
                <w:bCs/>
                <w:szCs w:val="24"/>
                <w:lang w:val="en-US"/>
              </w:rPr>
              <w:t>06</w:t>
            </w:r>
            <w:r w:rsidRPr="009C6904">
              <w:rPr>
                <w:rFonts w:eastAsia="Times New Roman" w:cs="Times New Roman"/>
                <w:b/>
                <w:bCs/>
                <w:szCs w:val="24"/>
                <w:lang w:val="en-US"/>
              </w:rPr>
              <w:t>.202</w:t>
            </w:r>
            <w:r>
              <w:rPr>
                <w:rFonts w:eastAsia="Times New Roman" w:cs="Times New Roman"/>
                <w:b/>
                <w:bCs/>
                <w:szCs w:val="24"/>
                <w:lang w:val="en-US"/>
              </w:rPr>
              <w:t>2</w:t>
            </w:r>
            <w:r w:rsidRPr="009C6904">
              <w:rPr>
                <w:rFonts w:eastAsia="Times New Roman" w:cs="Times New Roman"/>
                <w:b/>
                <w:bCs/>
                <w:szCs w:val="24"/>
                <w:lang w:val="en-US"/>
              </w:rPr>
              <w:t>.</w:t>
            </w:r>
          </w:p>
          <w:p w:rsidR="00645130" w:rsidRDefault="00645130" w:rsidP="00645130">
            <w:pPr>
              <w:shd w:val="clear" w:color="auto" w:fill="FFFFFF"/>
              <w:spacing w:after="0" w:line="240" w:lineRule="auto"/>
              <w:jc w:val="left"/>
              <w:rPr>
                <w:rFonts w:eastAsia="Times New Roman" w:cs="Times New Roman"/>
                <w:color w:val="212121"/>
                <w:szCs w:val="24"/>
                <w:lang w:val="en-US"/>
              </w:rPr>
            </w:pPr>
          </w:p>
          <w:p w:rsidR="00645130" w:rsidRPr="00645130" w:rsidRDefault="00460ABB" w:rsidP="00645130">
            <w:pPr>
              <w:shd w:val="clear" w:color="auto" w:fill="FFFFFF"/>
              <w:spacing w:after="0" w:line="240" w:lineRule="auto"/>
              <w:jc w:val="left"/>
              <w:rPr>
                <w:rFonts w:eastAsia="Times New Roman" w:cs="Times New Roman"/>
                <w:color w:val="212121"/>
                <w:szCs w:val="24"/>
                <w:lang w:val="en-US"/>
              </w:rPr>
            </w:pPr>
            <w:r w:rsidRPr="00645130">
              <w:rPr>
                <w:rFonts w:eastAsia="Times New Roman" w:cs="Times New Roman"/>
                <w:color w:val="212121"/>
                <w:szCs w:val="24"/>
                <w:lang w:val="en-US"/>
              </w:rPr>
              <w:t xml:space="preserve">Poštovani javno savjetovanje zakonom je propisano da traje 30 dana.Uz prijedlog Vaše </w:t>
            </w:r>
            <w:r w:rsidRPr="00645130">
              <w:rPr>
                <w:rFonts w:eastAsia="Times New Roman" w:cs="Times New Roman"/>
                <w:color w:val="212121"/>
                <w:szCs w:val="24"/>
                <w:lang w:val="en-US"/>
              </w:rPr>
              <w:t>odluke nemate prilog zbog čega skraćujte termin savjetovanja.</w:t>
            </w:r>
          </w:p>
          <w:p w:rsidR="00645130" w:rsidRPr="00645130" w:rsidRDefault="00645130" w:rsidP="00645130">
            <w:pPr>
              <w:shd w:val="clear" w:color="auto" w:fill="FFFFFF"/>
              <w:spacing w:after="0" w:line="240" w:lineRule="auto"/>
              <w:jc w:val="left"/>
              <w:rPr>
                <w:rFonts w:eastAsia="Times New Roman" w:cs="Times New Roman"/>
                <w:color w:val="212121"/>
                <w:szCs w:val="24"/>
                <w:lang w:val="en-US"/>
              </w:rPr>
            </w:pPr>
          </w:p>
          <w:p w:rsidR="00645130" w:rsidRPr="00645130" w:rsidRDefault="00460ABB" w:rsidP="00645130">
            <w:pPr>
              <w:shd w:val="clear" w:color="auto" w:fill="FFFFFF"/>
              <w:spacing w:after="0" w:line="240" w:lineRule="auto"/>
              <w:jc w:val="left"/>
              <w:rPr>
                <w:rFonts w:eastAsia="Times New Roman" w:cs="Times New Roman"/>
                <w:color w:val="212121"/>
                <w:szCs w:val="24"/>
                <w:lang w:val="en-US"/>
              </w:rPr>
            </w:pPr>
            <w:r w:rsidRPr="00645130">
              <w:rPr>
                <w:rFonts w:eastAsia="Times New Roman" w:cs="Times New Roman"/>
                <w:color w:val="212121"/>
                <w:szCs w:val="24"/>
                <w:lang w:val="en-US"/>
              </w:rPr>
              <w:t>Lijepi Pozdrav</w:t>
            </w:r>
          </w:p>
          <w:p w:rsidR="00645130" w:rsidRPr="00645130" w:rsidRDefault="00460ABB" w:rsidP="00645130">
            <w:pPr>
              <w:shd w:val="clear" w:color="auto" w:fill="FFFFFF"/>
              <w:spacing w:after="0" w:line="240" w:lineRule="auto"/>
              <w:jc w:val="left"/>
              <w:rPr>
                <w:rFonts w:eastAsia="Times New Roman" w:cs="Times New Roman"/>
                <w:color w:val="212121"/>
                <w:szCs w:val="24"/>
                <w:lang w:val="en-US"/>
              </w:rPr>
            </w:pPr>
            <w:r w:rsidRPr="00645130">
              <w:rPr>
                <w:rFonts w:eastAsia="Times New Roman" w:cs="Times New Roman"/>
                <w:color w:val="212121"/>
                <w:szCs w:val="24"/>
                <w:lang w:val="en-US"/>
              </w:rPr>
              <w:t>Marko Brozović</w:t>
            </w:r>
          </w:p>
          <w:p w:rsidR="00205A8E" w:rsidRPr="00DE1CC0" w:rsidRDefault="00205A8E" w:rsidP="00205A8E">
            <w:pPr>
              <w:spacing w:after="0" w:line="240" w:lineRule="auto"/>
              <w:jc w:val="left"/>
              <w:rPr>
                <w:rFonts w:cs="Times New Roman"/>
                <w:b/>
              </w:rPr>
            </w:pPr>
          </w:p>
        </w:tc>
        <w:tc>
          <w:tcPr>
            <w:tcW w:w="5244" w:type="dxa"/>
            <w:vAlign w:val="center"/>
          </w:tcPr>
          <w:p w:rsidR="00640549" w:rsidRDefault="00460ABB" w:rsidP="00D07148">
            <w:pPr>
              <w:spacing w:after="0" w:line="240" w:lineRule="auto"/>
              <w:jc w:val="left"/>
              <w:rPr>
                <w:rFonts w:eastAsia="Times New Roman" w:cs="Times New Roman"/>
                <w:szCs w:val="24"/>
                <w:lang w:eastAsia="hr-HR"/>
              </w:rPr>
            </w:pPr>
            <w:bookmarkStart w:id="0" w:name="_Hlk106625141"/>
            <w:r>
              <w:rPr>
                <w:rFonts w:eastAsia="Times New Roman" w:cs="Times New Roman"/>
                <w:szCs w:val="24"/>
                <w:lang w:eastAsia="hr-HR"/>
              </w:rPr>
              <w:t>NE PRIHVAĆA SE</w:t>
            </w:r>
          </w:p>
          <w:p w:rsidR="00D07148" w:rsidRPr="00C86705" w:rsidRDefault="00460ABB" w:rsidP="00D07148">
            <w:pPr>
              <w:spacing w:after="0" w:line="240" w:lineRule="auto"/>
              <w:jc w:val="left"/>
              <w:rPr>
                <w:rFonts w:eastAsia="Times New Roman" w:cs="Times New Roman"/>
                <w:szCs w:val="24"/>
                <w:lang w:eastAsia="hr-HR"/>
              </w:rPr>
            </w:pPr>
            <w:r w:rsidRPr="00C86705">
              <w:rPr>
                <w:rFonts w:eastAsia="Times New Roman" w:cs="Times New Roman"/>
                <w:szCs w:val="24"/>
                <w:lang w:eastAsia="hr-HR"/>
              </w:rPr>
              <w:t>U pogledu roka za provedbu savjetovanja s javnošću, Zakon propisuje da se savjetovanje provodi u pravilu u trajanju od 30 dana (članak 11., stavak 3.). U konkretnom slučaju, opravdani razlog za savjetovanje sa zainteresiranom javnošću u pogledu izmjena i d</w:t>
            </w:r>
            <w:r w:rsidRPr="00C86705">
              <w:rPr>
                <w:rFonts w:eastAsia="Times New Roman" w:cs="Times New Roman"/>
                <w:szCs w:val="24"/>
                <w:lang w:eastAsia="hr-HR"/>
              </w:rPr>
              <w:t xml:space="preserve">opuna plana upravljanja pomorskim dobrom na području </w:t>
            </w:r>
            <w:r>
              <w:rPr>
                <w:rFonts w:eastAsia="Times New Roman" w:cs="Times New Roman"/>
                <w:szCs w:val="24"/>
                <w:lang w:eastAsia="hr-HR"/>
              </w:rPr>
              <w:t>G</w:t>
            </w:r>
            <w:r w:rsidRPr="00C86705">
              <w:rPr>
                <w:rFonts w:eastAsia="Times New Roman" w:cs="Times New Roman"/>
                <w:szCs w:val="24"/>
                <w:lang w:eastAsia="hr-HR"/>
              </w:rPr>
              <w:t xml:space="preserve">rada </w:t>
            </w:r>
            <w:r>
              <w:rPr>
                <w:rFonts w:eastAsia="Times New Roman" w:cs="Times New Roman"/>
                <w:szCs w:val="24"/>
                <w:lang w:eastAsia="hr-HR"/>
              </w:rPr>
              <w:t>P</w:t>
            </w:r>
            <w:r w:rsidRPr="00C86705">
              <w:rPr>
                <w:rFonts w:eastAsia="Times New Roman" w:cs="Times New Roman"/>
                <w:szCs w:val="24"/>
                <w:lang w:eastAsia="hr-HR"/>
              </w:rPr>
              <w:t xml:space="preserve">ule za 2022. godinu u kraćem roku od 30 dana leži u činjenici da je sam postupak savjetovanja osnovnog akta trajao u zakonskom roku, da se predmetna izmjena i dopuna osnovnog akta odnosi na </w:t>
            </w:r>
            <w:r>
              <w:rPr>
                <w:rFonts w:eastAsia="Times New Roman" w:cs="Times New Roman"/>
                <w:szCs w:val="24"/>
                <w:lang w:eastAsia="hr-HR"/>
              </w:rPr>
              <w:t>minima</w:t>
            </w:r>
            <w:r>
              <w:rPr>
                <w:rFonts w:eastAsia="Times New Roman" w:cs="Times New Roman"/>
                <w:szCs w:val="24"/>
                <w:lang w:eastAsia="hr-HR"/>
              </w:rPr>
              <w:t>lne izmjene, a samo donošenje</w:t>
            </w:r>
            <w:r w:rsidRPr="00C86705">
              <w:rPr>
                <w:rFonts w:eastAsia="Times New Roman" w:cs="Times New Roman"/>
                <w:szCs w:val="24"/>
                <w:lang w:eastAsia="hr-HR"/>
              </w:rPr>
              <w:t xml:space="preserve"> je od značaja za proračunski ciklus</w:t>
            </w:r>
            <w:r>
              <w:rPr>
                <w:rFonts w:eastAsia="Times New Roman" w:cs="Times New Roman"/>
                <w:szCs w:val="24"/>
                <w:lang w:eastAsia="hr-HR"/>
              </w:rPr>
              <w:t xml:space="preserve"> a</w:t>
            </w:r>
            <w:r w:rsidRPr="00C86705">
              <w:rPr>
                <w:rFonts w:eastAsia="Times New Roman" w:cs="Times New Roman"/>
                <w:szCs w:val="24"/>
                <w:lang w:eastAsia="hr-HR"/>
              </w:rPr>
              <w:t xml:space="preserve"> uzimajući u obzir da je proces savjetovanja bio dostupan i na raspolaganju svim dionicima unutar razumnog vremenskog roka od 15 dana, slijedom čega su postojali objektivni </w:t>
            </w:r>
            <w:r w:rsidRPr="00C86705">
              <w:rPr>
                <w:rFonts w:eastAsia="Times New Roman" w:cs="Times New Roman"/>
                <w:szCs w:val="24"/>
                <w:lang w:eastAsia="hr-HR"/>
              </w:rPr>
              <w:lastRenderedPageBreak/>
              <w:t>razlozi za skrać</w:t>
            </w:r>
            <w:r w:rsidRPr="00C86705">
              <w:rPr>
                <w:rFonts w:eastAsia="Times New Roman" w:cs="Times New Roman"/>
                <w:szCs w:val="24"/>
                <w:lang w:eastAsia="hr-HR"/>
              </w:rPr>
              <w:t>enje postupka savjetovanja.</w:t>
            </w:r>
          </w:p>
          <w:p w:rsidR="00D07148" w:rsidRPr="00905D4D" w:rsidRDefault="00D07148" w:rsidP="00D07148">
            <w:pPr>
              <w:spacing w:after="120" w:line="240" w:lineRule="auto"/>
              <w:rPr>
                <w:rFonts w:cs="Times New Roman"/>
                <w:b/>
                <w:sz w:val="18"/>
                <w:szCs w:val="18"/>
              </w:rPr>
            </w:pPr>
          </w:p>
          <w:p w:rsidR="00205A8E" w:rsidRPr="00905D4D" w:rsidRDefault="00205A8E" w:rsidP="00205A8E">
            <w:pPr>
              <w:spacing w:after="120" w:line="240" w:lineRule="auto"/>
              <w:rPr>
                <w:rFonts w:cs="Times New Roman"/>
                <w:b/>
                <w:sz w:val="18"/>
                <w:szCs w:val="18"/>
              </w:rPr>
            </w:pPr>
          </w:p>
          <w:p w:rsidR="00205A8E" w:rsidRPr="00905D4D" w:rsidRDefault="00205A8E" w:rsidP="00205A8E">
            <w:pPr>
              <w:spacing w:after="120" w:line="240" w:lineRule="auto"/>
              <w:rPr>
                <w:rFonts w:cs="Times New Roman"/>
                <w:b/>
                <w:sz w:val="18"/>
                <w:szCs w:val="18"/>
              </w:rPr>
            </w:pPr>
          </w:p>
          <w:bookmarkEnd w:id="0"/>
          <w:p w:rsidR="00205A8E" w:rsidRPr="00905D4D" w:rsidRDefault="00205A8E" w:rsidP="00205A8E">
            <w:pPr>
              <w:spacing w:after="120" w:line="240" w:lineRule="auto"/>
              <w:rPr>
                <w:rFonts w:cs="Times New Roman"/>
                <w:b/>
                <w:sz w:val="18"/>
                <w:szCs w:val="18"/>
              </w:rPr>
            </w:pPr>
          </w:p>
          <w:p w:rsidR="00205A8E" w:rsidRPr="00905D4D" w:rsidRDefault="00205A8E" w:rsidP="00205A8E">
            <w:pPr>
              <w:spacing w:after="120" w:line="240" w:lineRule="auto"/>
              <w:rPr>
                <w:rFonts w:cs="Times New Roman"/>
                <w:b/>
                <w:sz w:val="18"/>
                <w:szCs w:val="18"/>
              </w:rPr>
            </w:pPr>
          </w:p>
        </w:tc>
      </w:tr>
    </w:tbl>
    <w:p w:rsidR="00FD54E0" w:rsidRPr="00554CCE" w:rsidRDefault="00FD54E0" w:rsidP="006D0278"/>
    <w:sectPr w:rsidR="00FD54E0" w:rsidRPr="00554CCE" w:rsidSect="006553E4">
      <w:pgSz w:w="16840" w:h="11910" w:orient="landscape" w:code="9"/>
      <w:pgMar w:top="1134" w:right="839" w:bottom="1418" w:left="1378" w:header="0" w:footer="1191"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45BCB"/>
    <w:multiLevelType w:val="hybridMultilevel"/>
    <w:tmpl w:val="9CF020B0"/>
    <w:lvl w:ilvl="0" w:tplc="9154BF9A">
      <w:start w:val="1"/>
      <w:numFmt w:val="decimal"/>
      <w:lvlText w:val="%1."/>
      <w:lvlJc w:val="left"/>
      <w:pPr>
        <w:ind w:left="1146" w:hanging="360"/>
      </w:pPr>
      <w:rPr>
        <w:rFonts w:hint="default"/>
      </w:rPr>
    </w:lvl>
    <w:lvl w:ilvl="1" w:tplc="126E6B54" w:tentative="1">
      <w:start w:val="1"/>
      <w:numFmt w:val="lowerLetter"/>
      <w:lvlText w:val="%2."/>
      <w:lvlJc w:val="left"/>
      <w:pPr>
        <w:ind w:left="1866" w:hanging="360"/>
      </w:pPr>
    </w:lvl>
    <w:lvl w:ilvl="2" w:tplc="E0084882" w:tentative="1">
      <w:start w:val="1"/>
      <w:numFmt w:val="lowerRoman"/>
      <w:lvlText w:val="%3."/>
      <w:lvlJc w:val="right"/>
      <w:pPr>
        <w:ind w:left="2586" w:hanging="180"/>
      </w:pPr>
    </w:lvl>
    <w:lvl w:ilvl="3" w:tplc="32DC8678" w:tentative="1">
      <w:start w:val="1"/>
      <w:numFmt w:val="decimal"/>
      <w:lvlText w:val="%4."/>
      <w:lvlJc w:val="left"/>
      <w:pPr>
        <w:ind w:left="3306" w:hanging="360"/>
      </w:pPr>
    </w:lvl>
    <w:lvl w:ilvl="4" w:tplc="4BFEAC74" w:tentative="1">
      <w:start w:val="1"/>
      <w:numFmt w:val="lowerLetter"/>
      <w:lvlText w:val="%5."/>
      <w:lvlJc w:val="left"/>
      <w:pPr>
        <w:ind w:left="4026" w:hanging="360"/>
      </w:pPr>
    </w:lvl>
    <w:lvl w:ilvl="5" w:tplc="864A340A" w:tentative="1">
      <w:start w:val="1"/>
      <w:numFmt w:val="lowerRoman"/>
      <w:lvlText w:val="%6."/>
      <w:lvlJc w:val="right"/>
      <w:pPr>
        <w:ind w:left="4746" w:hanging="180"/>
      </w:pPr>
    </w:lvl>
    <w:lvl w:ilvl="6" w:tplc="C010DCEE" w:tentative="1">
      <w:start w:val="1"/>
      <w:numFmt w:val="decimal"/>
      <w:lvlText w:val="%7."/>
      <w:lvlJc w:val="left"/>
      <w:pPr>
        <w:ind w:left="5466" w:hanging="360"/>
      </w:pPr>
    </w:lvl>
    <w:lvl w:ilvl="7" w:tplc="178EFC4A" w:tentative="1">
      <w:start w:val="1"/>
      <w:numFmt w:val="lowerLetter"/>
      <w:lvlText w:val="%8."/>
      <w:lvlJc w:val="left"/>
      <w:pPr>
        <w:ind w:left="6186" w:hanging="360"/>
      </w:pPr>
    </w:lvl>
    <w:lvl w:ilvl="8" w:tplc="5DF26A3A" w:tentative="1">
      <w:start w:val="1"/>
      <w:numFmt w:val="lowerRoman"/>
      <w:lvlText w:val="%9."/>
      <w:lvlJc w:val="right"/>
      <w:pPr>
        <w:ind w:left="690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23"/>
  <w:displayHorizontalDrawingGridEvery w:val="0"/>
  <w:displayVerticalDrawingGridEvery w:val="2"/>
  <w:characterSpacingControl w:val="doNotCompress"/>
  <w:compat/>
  <w:rsids>
    <w:rsidRoot w:val="00745252"/>
    <w:rsid w:val="00006D10"/>
    <w:rsid w:val="0001029F"/>
    <w:rsid w:val="000222E3"/>
    <w:rsid w:val="000254EE"/>
    <w:rsid w:val="000331F9"/>
    <w:rsid w:val="00035EF8"/>
    <w:rsid w:val="00036AF1"/>
    <w:rsid w:val="000453A8"/>
    <w:rsid w:val="00067970"/>
    <w:rsid w:val="00093CFA"/>
    <w:rsid w:val="000A060C"/>
    <w:rsid w:val="000A289E"/>
    <w:rsid w:val="000A553A"/>
    <w:rsid w:val="000B0B68"/>
    <w:rsid w:val="000C112A"/>
    <w:rsid w:val="001116C3"/>
    <w:rsid w:val="001211C4"/>
    <w:rsid w:val="00144C05"/>
    <w:rsid w:val="001525BB"/>
    <w:rsid w:val="001529EE"/>
    <w:rsid w:val="00167701"/>
    <w:rsid w:val="001832D9"/>
    <w:rsid w:val="001876C3"/>
    <w:rsid w:val="00191D84"/>
    <w:rsid w:val="00193D55"/>
    <w:rsid w:val="001A56E2"/>
    <w:rsid w:val="001B1437"/>
    <w:rsid w:val="001B5350"/>
    <w:rsid w:val="001D5B36"/>
    <w:rsid w:val="001E4E98"/>
    <w:rsid w:val="001F0AB0"/>
    <w:rsid w:val="001F5FDF"/>
    <w:rsid w:val="00205A8E"/>
    <w:rsid w:val="00226220"/>
    <w:rsid w:val="00231129"/>
    <w:rsid w:val="00235EE4"/>
    <w:rsid w:val="002A0A9C"/>
    <w:rsid w:val="002B64AC"/>
    <w:rsid w:val="002D0CE8"/>
    <w:rsid w:val="002E1DE0"/>
    <w:rsid w:val="002F32A8"/>
    <w:rsid w:val="003064B6"/>
    <w:rsid w:val="003128AD"/>
    <w:rsid w:val="003139F8"/>
    <w:rsid w:val="003147A4"/>
    <w:rsid w:val="00357273"/>
    <w:rsid w:val="00365EC9"/>
    <w:rsid w:val="0036657D"/>
    <w:rsid w:val="0036707F"/>
    <w:rsid w:val="003860DA"/>
    <w:rsid w:val="003960C5"/>
    <w:rsid w:val="003A5B39"/>
    <w:rsid w:val="003A6814"/>
    <w:rsid w:val="003B0809"/>
    <w:rsid w:val="003B4E83"/>
    <w:rsid w:val="003B7AB7"/>
    <w:rsid w:val="003D2C63"/>
    <w:rsid w:val="003D2CEA"/>
    <w:rsid w:val="003D714F"/>
    <w:rsid w:val="003E40E5"/>
    <w:rsid w:val="003F2A71"/>
    <w:rsid w:val="003F5C69"/>
    <w:rsid w:val="003F7626"/>
    <w:rsid w:val="004133C5"/>
    <w:rsid w:val="004136CA"/>
    <w:rsid w:val="00414951"/>
    <w:rsid w:val="00460ABB"/>
    <w:rsid w:val="0046208D"/>
    <w:rsid w:val="004654A5"/>
    <w:rsid w:val="0047016E"/>
    <w:rsid w:val="004708EC"/>
    <w:rsid w:val="00472A5B"/>
    <w:rsid w:val="004762D4"/>
    <w:rsid w:val="004C1029"/>
    <w:rsid w:val="004D2869"/>
    <w:rsid w:val="00507D8B"/>
    <w:rsid w:val="00512208"/>
    <w:rsid w:val="00520C0F"/>
    <w:rsid w:val="00526E2D"/>
    <w:rsid w:val="00534446"/>
    <w:rsid w:val="0055262D"/>
    <w:rsid w:val="00554CCE"/>
    <w:rsid w:val="0055662F"/>
    <w:rsid w:val="00557F53"/>
    <w:rsid w:val="00566A7F"/>
    <w:rsid w:val="00574A64"/>
    <w:rsid w:val="005921A4"/>
    <w:rsid w:val="005959C6"/>
    <w:rsid w:val="00597612"/>
    <w:rsid w:val="00597FB5"/>
    <w:rsid w:val="005A3AAC"/>
    <w:rsid w:val="005A51C2"/>
    <w:rsid w:val="005B004B"/>
    <w:rsid w:val="005C2E73"/>
    <w:rsid w:val="005D4167"/>
    <w:rsid w:val="005E03E9"/>
    <w:rsid w:val="005F1074"/>
    <w:rsid w:val="005F638D"/>
    <w:rsid w:val="005F75EB"/>
    <w:rsid w:val="00620010"/>
    <w:rsid w:val="00640549"/>
    <w:rsid w:val="00645130"/>
    <w:rsid w:val="006553E4"/>
    <w:rsid w:val="00656106"/>
    <w:rsid w:val="00663EFB"/>
    <w:rsid w:val="00674EFD"/>
    <w:rsid w:val="00691137"/>
    <w:rsid w:val="006A6F6C"/>
    <w:rsid w:val="006B49FE"/>
    <w:rsid w:val="006D0278"/>
    <w:rsid w:val="006D0439"/>
    <w:rsid w:val="006D70D8"/>
    <w:rsid w:val="0074133C"/>
    <w:rsid w:val="00745252"/>
    <w:rsid w:val="00767DCF"/>
    <w:rsid w:val="00770266"/>
    <w:rsid w:val="007720D8"/>
    <w:rsid w:val="00772306"/>
    <w:rsid w:val="0078062A"/>
    <w:rsid w:val="007B0E9D"/>
    <w:rsid w:val="007B7C3E"/>
    <w:rsid w:val="007C0CC7"/>
    <w:rsid w:val="007C1B68"/>
    <w:rsid w:val="007C72F9"/>
    <w:rsid w:val="007E0403"/>
    <w:rsid w:val="007E0CB9"/>
    <w:rsid w:val="007E298A"/>
    <w:rsid w:val="007E4CBE"/>
    <w:rsid w:val="007E7A56"/>
    <w:rsid w:val="008058C5"/>
    <w:rsid w:val="00806EDB"/>
    <w:rsid w:val="00822594"/>
    <w:rsid w:val="00827690"/>
    <w:rsid w:val="00830EF1"/>
    <w:rsid w:val="00835496"/>
    <w:rsid w:val="00850880"/>
    <w:rsid w:val="008661DA"/>
    <w:rsid w:val="008839FE"/>
    <w:rsid w:val="00884DD8"/>
    <w:rsid w:val="00890612"/>
    <w:rsid w:val="00896259"/>
    <w:rsid w:val="008A349F"/>
    <w:rsid w:val="008A7687"/>
    <w:rsid w:val="008C5898"/>
    <w:rsid w:val="008E0508"/>
    <w:rsid w:val="008F35EF"/>
    <w:rsid w:val="00905D4D"/>
    <w:rsid w:val="009149E7"/>
    <w:rsid w:val="00921417"/>
    <w:rsid w:val="00923A1D"/>
    <w:rsid w:val="00933579"/>
    <w:rsid w:val="0094090F"/>
    <w:rsid w:val="00973BA7"/>
    <w:rsid w:val="0098341A"/>
    <w:rsid w:val="00985354"/>
    <w:rsid w:val="009925C3"/>
    <w:rsid w:val="0099780B"/>
    <w:rsid w:val="00997AEA"/>
    <w:rsid w:val="009C6904"/>
    <w:rsid w:val="009E6E97"/>
    <w:rsid w:val="009F72F4"/>
    <w:rsid w:val="00A0653A"/>
    <w:rsid w:val="00A42359"/>
    <w:rsid w:val="00A505B7"/>
    <w:rsid w:val="00A76ABA"/>
    <w:rsid w:val="00A80486"/>
    <w:rsid w:val="00A94543"/>
    <w:rsid w:val="00B0464E"/>
    <w:rsid w:val="00B06FE1"/>
    <w:rsid w:val="00B27FDA"/>
    <w:rsid w:val="00B352DA"/>
    <w:rsid w:val="00B443D7"/>
    <w:rsid w:val="00B574AE"/>
    <w:rsid w:val="00B67CD3"/>
    <w:rsid w:val="00B70243"/>
    <w:rsid w:val="00B83BBF"/>
    <w:rsid w:val="00BA2674"/>
    <w:rsid w:val="00BA3E4E"/>
    <w:rsid w:val="00BB42D7"/>
    <w:rsid w:val="00BC0DE1"/>
    <w:rsid w:val="00BD23C3"/>
    <w:rsid w:val="00BE437C"/>
    <w:rsid w:val="00BE6D92"/>
    <w:rsid w:val="00BE7068"/>
    <w:rsid w:val="00BF2135"/>
    <w:rsid w:val="00BF7D25"/>
    <w:rsid w:val="00C01098"/>
    <w:rsid w:val="00C07076"/>
    <w:rsid w:val="00C07820"/>
    <w:rsid w:val="00C30027"/>
    <w:rsid w:val="00C33CF5"/>
    <w:rsid w:val="00C366F5"/>
    <w:rsid w:val="00C42EE4"/>
    <w:rsid w:val="00C61D4F"/>
    <w:rsid w:val="00C75D5C"/>
    <w:rsid w:val="00C75E48"/>
    <w:rsid w:val="00C86705"/>
    <w:rsid w:val="00C869D7"/>
    <w:rsid w:val="00C87E4A"/>
    <w:rsid w:val="00C94D7E"/>
    <w:rsid w:val="00CA0194"/>
    <w:rsid w:val="00CA1640"/>
    <w:rsid w:val="00CE47E1"/>
    <w:rsid w:val="00CE74D5"/>
    <w:rsid w:val="00CF5EDA"/>
    <w:rsid w:val="00D07148"/>
    <w:rsid w:val="00D105AB"/>
    <w:rsid w:val="00D355CE"/>
    <w:rsid w:val="00D37D1B"/>
    <w:rsid w:val="00D47E56"/>
    <w:rsid w:val="00D60789"/>
    <w:rsid w:val="00D63D5D"/>
    <w:rsid w:val="00D82E74"/>
    <w:rsid w:val="00D95616"/>
    <w:rsid w:val="00DC6CFF"/>
    <w:rsid w:val="00DD09B8"/>
    <w:rsid w:val="00DD3692"/>
    <w:rsid w:val="00DE1CC0"/>
    <w:rsid w:val="00DE7E3F"/>
    <w:rsid w:val="00DF2B78"/>
    <w:rsid w:val="00DF3995"/>
    <w:rsid w:val="00DF4284"/>
    <w:rsid w:val="00E1517D"/>
    <w:rsid w:val="00E2685C"/>
    <w:rsid w:val="00E305CF"/>
    <w:rsid w:val="00E30F57"/>
    <w:rsid w:val="00E35AA7"/>
    <w:rsid w:val="00E3764E"/>
    <w:rsid w:val="00E5632B"/>
    <w:rsid w:val="00E65B56"/>
    <w:rsid w:val="00E93977"/>
    <w:rsid w:val="00EB1FC5"/>
    <w:rsid w:val="00EB3C83"/>
    <w:rsid w:val="00ED1F54"/>
    <w:rsid w:val="00EE5476"/>
    <w:rsid w:val="00EE56D0"/>
    <w:rsid w:val="00F017FF"/>
    <w:rsid w:val="00F05661"/>
    <w:rsid w:val="00F13749"/>
    <w:rsid w:val="00F17382"/>
    <w:rsid w:val="00F21E37"/>
    <w:rsid w:val="00F30835"/>
    <w:rsid w:val="00F34F0B"/>
    <w:rsid w:val="00F47281"/>
    <w:rsid w:val="00F549D6"/>
    <w:rsid w:val="00F57A89"/>
    <w:rsid w:val="00F6047D"/>
    <w:rsid w:val="00F61A63"/>
    <w:rsid w:val="00F62AC5"/>
    <w:rsid w:val="00F7198E"/>
    <w:rsid w:val="00F71F2A"/>
    <w:rsid w:val="00F7572F"/>
    <w:rsid w:val="00F80872"/>
    <w:rsid w:val="00F9707F"/>
    <w:rsid w:val="00FA4296"/>
    <w:rsid w:val="00FB7C72"/>
    <w:rsid w:val="00FC4E63"/>
    <w:rsid w:val="00FD54E0"/>
    <w:rsid w:val="00FD714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49F"/>
    <w:pPr>
      <w:jc w:val="both"/>
    </w:pPr>
    <w:rPr>
      <w:rFonts w:ascii="Times New Roman" w:hAnsi="Times New Roman"/>
      <w:sz w:val="24"/>
    </w:rPr>
  </w:style>
  <w:style w:type="paragraph" w:styleId="Heading1">
    <w:name w:val="heading 1"/>
    <w:basedOn w:val="Normal"/>
    <w:next w:val="Normal"/>
    <w:link w:val="Heading1Char"/>
    <w:uiPriority w:val="9"/>
    <w:qFormat/>
    <w:rsid w:val="008A3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3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1"/>
    <w:qFormat/>
    <w:rsid w:val="008A349F"/>
    <w:pPr>
      <w:widowControl w:val="0"/>
      <w:autoSpaceDE w:val="0"/>
      <w:autoSpaceDN w:val="0"/>
      <w:spacing w:before="55" w:after="0" w:line="240" w:lineRule="auto"/>
      <w:ind w:left="1368"/>
      <w:outlineLvl w:val="3"/>
    </w:pPr>
    <w:rPr>
      <w:rFonts w:ascii="Arial" w:eastAsia="Arial" w:hAnsi="Arial" w:cs="Arial"/>
      <w:szCs w:val="24"/>
      <w:lang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A349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1"/>
    <w:rsid w:val="008A349F"/>
    <w:rPr>
      <w:rFonts w:ascii="Arial" w:eastAsia="Arial" w:hAnsi="Arial" w:cs="Arial"/>
      <w:sz w:val="24"/>
      <w:szCs w:val="24"/>
      <w:lang w:bidi="hr-HR"/>
    </w:rPr>
  </w:style>
  <w:style w:type="paragraph" w:styleId="BodyText">
    <w:name w:val="Body Text"/>
    <w:basedOn w:val="Normal"/>
    <w:link w:val="BodyTextChar"/>
    <w:uiPriority w:val="1"/>
    <w:qFormat/>
    <w:rsid w:val="008A349F"/>
    <w:pPr>
      <w:widowControl w:val="0"/>
      <w:autoSpaceDE w:val="0"/>
      <w:autoSpaceDN w:val="0"/>
      <w:spacing w:after="0" w:line="240" w:lineRule="auto"/>
    </w:pPr>
    <w:rPr>
      <w:rFonts w:ascii="Arial" w:eastAsia="Arial" w:hAnsi="Arial" w:cs="Arial"/>
      <w:sz w:val="22"/>
      <w:lang w:bidi="hr-HR"/>
    </w:rPr>
  </w:style>
  <w:style w:type="character" w:customStyle="1" w:styleId="BodyTextChar">
    <w:name w:val="Body Text Char"/>
    <w:basedOn w:val="DefaultParagraphFont"/>
    <w:link w:val="BodyText"/>
    <w:uiPriority w:val="1"/>
    <w:rsid w:val="008A349F"/>
    <w:rPr>
      <w:rFonts w:ascii="Arial" w:eastAsia="Arial" w:hAnsi="Arial" w:cs="Arial"/>
      <w:lang w:bidi="hr-HR"/>
    </w:rPr>
  </w:style>
  <w:style w:type="paragraph" w:styleId="NoSpacing">
    <w:name w:val="No Spacing"/>
    <w:uiPriority w:val="1"/>
    <w:qFormat/>
    <w:rsid w:val="008A349F"/>
    <w:pPr>
      <w:spacing w:after="0" w:line="240" w:lineRule="auto"/>
    </w:pPr>
  </w:style>
  <w:style w:type="paragraph" w:styleId="IntenseQuote">
    <w:name w:val="Intense Quote"/>
    <w:basedOn w:val="Normal"/>
    <w:next w:val="Normal"/>
    <w:link w:val="IntenseQuoteChar"/>
    <w:uiPriority w:val="30"/>
    <w:qFormat/>
    <w:rsid w:val="008A34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A349F"/>
    <w:rPr>
      <w:rFonts w:ascii="Times New Roman" w:hAnsi="Times New Roman"/>
      <w:b/>
      <w:bCs/>
      <w:i/>
      <w:iCs/>
      <w:color w:val="4F81BD" w:themeColor="accent1"/>
      <w:sz w:val="24"/>
    </w:rPr>
  </w:style>
  <w:style w:type="character" w:styleId="SubtleReference">
    <w:name w:val="Subtle Reference"/>
    <w:basedOn w:val="DefaultParagraphFont"/>
    <w:uiPriority w:val="31"/>
    <w:qFormat/>
    <w:rsid w:val="008A349F"/>
    <w:rPr>
      <w:smallCaps/>
      <w:color w:val="C0504D" w:themeColor="accent2"/>
      <w:u w:val="single"/>
    </w:rPr>
  </w:style>
  <w:style w:type="character" w:styleId="IntenseReference">
    <w:name w:val="Intense Reference"/>
    <w:basedOn w:val="DefaultParagraphFont"/>
    <w:uiPriority w:val="32"/>
    <w:qFormat/>
    <w:rsid w:val="008A349F"/>
    <w:rPr>
      <w:b/>
      <w:bCs/>
      <w:smallCaps/>
      <w:color w:val="C0504D" w:themeColor="accent2"/>
      <w:spacing w:val="5"/>
      <w:u w:val="single"/>
    </w:rPr>
  </w:style>
  <w:style w:type="character" w:styleId="BookTitle">
    <w:name w:val="Book Title"/>
    <w:basedOn w:val="DefaultParagraphFont"/>
    <w:uiPriority w:val="33"/>
    <w:qFormat/>
    <w:rsid w:val="008A349F"/>
    <w:rPr>
      <w:b/>
      <w:bCs/>
      <w:smallCaps/>
      <w:spacing w:val="5"/>
    </w:rPr>
  </w:style>
  <w:style w:type="character" w:styleId="Hyperlink">
    <w:name w:val="Hyperlink"/>
    <w:basedOn w:val="DefaultParagraphFont"/>
    <w:uiPriority w:val="99"/>
    <w:unhideWhenUsed/>
    <w:rsid w:val="00231129"/>
    <w:rPr>
      <w:color w:val="0000FF"/>
      <w:u w:val="single"/>
    </w:rPr>
  </w:style>
  <w:style w:type="paragraph" w:styleId="Header">
    <w:name w:val="header"/>
    <w:basedOn w:val="Normal"/>
    <w:link w:val="HeaderChar"/>
    <w:uiPriority w:val="99"/>
    <w:semiHidden/>
    <w:unhideWhenUsed/>
    <w:rsid w:val="00C0782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07820"/>
    <w:rPr>
      <w:rFonts w:ascii="Times New Roman" w:hAnsi="Times New Roman"/>
      <w:sz w:val="24"/>
    </w:rPr>
  </w:style>
  <w:style w:type="paragraph" w:styleId="Footer">
    <w:name w:val="footer"/>
    <w:basedOn w:val="Normal"/>
    <w:link w:val="FooterChar"/>
    <w:uiPriority w:val="99"/>
    <w:semiHidden/>
    <w:unhideWhenUsed/>
    <w:rsid w:val="00C0782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07820"/>
    <w:rPr>
      <w:rFonts w:ascii="Times New Roman" w:hAnsi="Times New Roman"/>
      <w:sz w:val="24"/>
    </w:rPr>
  </w:style>
  <w:style w:type="paragraph" w:styleId="BalloonText">
    <w:name w:val="Balloon Text"/>
    <w:basedOn w:val="Normal"/>
    <w:link w:val="BalloonTextChar"/>
    <w:uiPriority w:val="99"/>
    <w:semiHidden/>
    <w:unhideWhenUsed/>
    <w:rsid w:val="008A7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687"/>
    <w:rPr>
      <w:rFonts w:ascii="Tahoma" w:hAnsi="Tahoma" w:cs="Tahoma"/>
      <w:sz w:val="16"/>
      <w:szCs w:val="16"/>
    </w:rPr>
  </w:style>
  <w:style w:type="character" w:customStyle="1" w:styleId="UnresolvedMention">
    <w:name w:val="Unresolved Mention"/>
    <w:basedOn w:val="DefaultParagraphFont"/>
    <w:uiPriority w:val="99"/>
    <w:semiHidden/>
    <w:unhideWhenUsed/>
    <w:rsid w:val="008058C5"/>
    <w:rPr>
      <w:color w:val="605E5C"/>
      <w:shd w:val="clear" w:color="auto" w:fill="E1DFDD"/>
    </w:rPr>
  </w:style>
  <w:style w:type="paragraph" w:customStyle="1" w:styleId="Default">
    <w:name w:val="Default"/>
    <w:rsid w:val="003064B6"/>
    <w:pPr>
      <w:autoSpaceDE w:val="0"/>
      <w:autoSpaceDN w:val="0"/>
      <w:adjustRightInd w:val="0"/>
      <w:spacing w:after="0" w:line="240" w:lineRule="auto"/>
    </w:pPr>
    <w:rPr>
      <w:rFonts w:ascii="Calibri" w:hAnsi="Calibri" w:cs="Calibri"/>
      <w:color w:val="000000"/>
      <w:sz w:val="24"/>
      <w:szCs w:val="24"/>
      <w:lang w:val="en-US"/>
    </w:rPr>
  </w:style>
  <w:style w:type="paragraph" w:styleId="NormalWeb">
    <w:name w:val="Normal (Web)"/>
    <w:basedOn w:val="Normal"/>
    <w:uiPriority w:val="99"/>
    <w:semiHidden/>
    <w:unhideWhenUsed/>
    <w:rsid w:val="00205A8E"/>
    <w:pPr>
      <w:spacing w:before="100" w:beforeAutospacing="1" w:after="100" w:afterAutospacing="1" w:line="240" w:lineRule="auto"/>
      <w:jc w:val="left"/>
    </w:pPr>
    <w:rPr>
      <w:rFonts w:eastAsia="Times New Roman" w:cs="Times New Roman"/>
      <w:szCs w:val="24"/>
      <w:lang w:val="en-US"/>
    </w:rPr>
  </w:style>
  <w:style w:type="paragraph" w:styleId="BodyText2">
    <w:name w:val="Body Text 2"/>
    <w:basedOn w:val="Normal"/>
    <w:link w:val="BodyText2Char"/>
    <w:uiPriority w:val="99"/>
    <w:semiHidden/>
    <w:unhideWhenUsed/>
    <w:rsid w:val="000331F9"/>
    <w:pPr>
      <w:spacing w:after="120" w:line="480" w:lineRule="auto"/>
    </w:pPr>
  </w:style>
  <w:style w:type="character" w:customStyle="1" w:styleId="BodyText2Char">
    <w:name w:val="Body Text 2 Char"/>
    <w:basedOn w:val="DefaultParagraphFont"/>
    <w:link w:val="BodyText2"/>
    <w:uiPriority w:val="99"/>
    <w:semiHidden/>
    <w:rsid w:val="000331F9"/>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1303</Words>
  <Characters>7429</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Šabanagić Marina</dc:creator>
  <cp:lastModifiedBy>slicardo</cp:lastModifiedBy>
  <cp:revision>2</cp:revision>
  <cp:lastPrinted>2021-03-01T08:43:00Z</cp:lastPrinted>
  <dcterms:created xsi:type="dcterms:W3CDTF">2022-06-30T09:07:00Z</dcterms:created>
  <dcterms:modified xsi:type="dcterms:W3CDTF">2022-06-30T09:07:00Z</dcterms:modified>
</cp:coreProperties>
</file>