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CEE5" w14:textId="77777777" w:rsidR="001D40B6" w:rsidRPr="0086305C" w:rsidRDefault="001D40B6" w:rsidP="001D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CITTÀ DI PULA-POLA</w:t>
      </w:r>
    </w:p>
    <w:p w14:paraId="615AED19" w14:textId="5BE6F208" w:rsidR="001D40B6" w:rsidRPr="006300D8" w:rsidRDefault="001D40B6" w:rsidP="0043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ALL'URBANISTICA, AGL</w:t>
      </w:r>
      <w:r w:rsidR="0043319C">
        <w:rPr>
          <w:rFonts w:ascii="Times New Roman" w:hAnsi="Times New Roman"/>
          <w:b/>
          <w:sz w:val="24"/>
        </w:rPr>
        <w:t xml:space="preserve">I INVESTIMENTI E AI PROGETTI DI </w:t>
      </w:r>
      <w:r>
        <w:rPr>
          <w:rFonts w:ascii="Times New Roman" w:hAnsi="Times New Roman"/>
          <w:b/>
          <w:sz w:val="24"/>
        </w:rPr>
        <w:t>SVILUPPO</w:t>
      </w:r>
    </w:p>
    <w:p w14:paraId="7846C3FA" w14:textId="54E525A5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>Ai sensi dell'art. 17 e 19 della Legge sugli impiegati e sul personale tecnico-ausiliario nell'autogoverno locale e territoriale (regionale) ("Gazzetta ufficiale", n. 86/08, 61/11, 04/18 e 112/19)</w:t>
      </w:r>
      <w:bookmarkStart w:id="0" w:name="_Hlk129334257"/>
      <w:r>
        <w:rPr>
          <w:rFonts w:ascii="Times New Roman" w:hAnsi="Times New Roman"/>
          <w:sz w:val="24"/>
        </w:rPr>
        <w:t xml:space="preserve">, l’Assessora alla cultura della Città di Pula-Pola </w:t>
      </w:r>
      <w:bookmarkEnd w:id="0"/>
      <w:r>
        <w:rPr>
          <w:rFonts w:ascii="Times New Roman" w:hAnsi="Times New Roman"/>
          <w:sz w:val="24"/>
        </w:rPr>
        <w:t xml:space="preserve"> bandisce il concorso pubblico pubblicato nella “Gazzetta ufficiale” della Repubblica di Croazia, l’Ente croato di collocamento al lavoro, Ufficio territoriale di Pola e sul sito istituzionale della Città di Pula-Pola di 1: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2F8E2C0F" w:rsidR="001D40B6" w:rsidRPr="0086305C" w:rsidRDefault="003B017B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Caposezione agli appalti pubblici - 1 esecutore/trice a tempo indeterminato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63ECB00E" w14:textId="77777777" w:rsidR="003B017B" w:rsidRDefault="003B017B" w:rsidP="003B017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b/>
          <w:sz w:val="24"/>
        </w:rPr>
        <w:t xml:space="preserve"> (con la percentuale approssimativa di tempo necessario per eseguire ogni lavoro individualmente):</w:t>
      </w:r>
      <w:r>
        <w:rPr>
          <w:rFonts w:ascii="Times New Roman" w:hAnsi="Times New Roman"/>
          <w:sz w:val="24"/>
        </w:rPr>
        <w:t xml:space="preserve"> </w:t>
      </w:r>
    </w:p>
    <w:p w14:paraId="71B61510" w14:textId="77777777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 il lavoro della Sezione, è responsabile del lavoro legale, tempestivo ed efficace della Sezione, segue le norme legali nell'ambito della Sezione, programma i compiti e determina le priorità e le scadenze, supervisiona la disciplina del lavoro e dà istruzioni e ordini agli impiegati della Sezione, predispone un piano di proposta finanziaria della Sezione e ne monitora l'attuazione, redige relazioni sull'operato della Sezione (10%), </w:t>
      </w:r>
    </w:p>
    <w:p w14:paraId="41686582" w14:textId="77777777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implementa procedure di appalto pubbliche, semplici e unificate nell'ambito di lavoro della Sezione (20%), </w:t>
      </w:r>
    </w:p>
    <w:p w14:paraId="189A3DB4" w14:textId="0C4A9C76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proposte di contratti e accordi quadro sulla base delle procedure di appalto svolte nell'ambito della Sezione (30%), </w:t>
      </w:r>
    </w:p>
    <w:p w14:paraId="11929CAF" w14:textId="01AE1E12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progetti e proposte di atti, conduce procedimenti amministrativi ed adotta provvedimenti in materia amministrativa nei casi previsti dalle leggi vigenti e da altri regolamenti adottati in base alle leggi (5%), </w:t>
      </w:r>
    </w:p>
    <w:p w14:paraId="2BDA62B5" w14:textId="47A8434B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coordina, sulla base delle esigenze presentate e dei dati degli organi amministrativi della Città di Pola, la realizzazione e la pubblicazione del Piano degli appalti e delle sue modifiche durante l'anno di bilancio (5%), </w:t>
      </w:r>
    </w:p>
    <w:p w14:paraId="2CD7D242" w14:textId="2F05DCB5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e coordina, sulla base dei dati forniti dagli organi amministrativi della Città di Pola, la gestione e la pubblicazione del registro degli appalti pubblici e degli accordi quadro e li aggiorna nel corso dell'esercizio finanziario (5%), </w:t>
      </w:r>
    </w:p>
    <w:p w14:paraId="079F60C8" w14:textId="395EC169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 l'attuazione della consultazione preliminare dei soggetti economici interessati nelle procedure di appalto di competenza della Sezione (5%), </w:t>
      </w:r>
    </w:p>
    <w:p w14:paraId="1339DBC1" w14:textId="2D98251F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le risposte ai ricorsi presentati nelle procedure di appalto pubblico di competenza dell'organo per il quale conduce le procedure di appalto (10%), </w:t>
      </w:r>
    </w:p>
    <w:p w14:paraId="5B2BE633" w14:textId="2480AF1E" w:rsid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è responsabile dei contenuti delle pagine web della Città di competenza della Sezione, controlla i contenuti delle pagine web della Città di competenza della Sezione e cura l'aggiornamento delle pagine web della Città di competenza della Sezione  (5%), </w:t>
      </w:r>
    </w:p>
    <w:p w14:paraId="554D5E28" w14:textId="14D6C034" w:rsidR="001D40B6" w:rsidRPr="003B017B" w:rsidRDefault="003B017B" w:rsidP="003B017B">
      <w:pPr>
        <w:pStyle w:val="ListParagraph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riferisce regolarmente sullo stato di tutte le attività ai vice assessori responsabili dell'ambito di lavoro e svolge altri compiti su ordine dell’assessore, del vice assessore e dell’assistente dell’assessore (5%).</w:t>
      </w:r>
    </w:p>
    <w:p w14:paraId="1421FADA" w14:textId="77777777" w:rsidR="001D40B6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2244F79B" w14:textId="78F304D8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</w:t>
      </w:r>
      <w:r>
        <w:rPr>
          <w:rFonts w:ascii="Times New Roman" w:hAnsi="Times New Roman"/>
          <w:sz w:val="24"/>
        </w:rPr>
        <w:lastRenderedPageBreak/>
        <w:t>novine – Bollettino ufficiale Pula-Pola nn. 17/24). In seguito a quanto sopra, lo sti</w:t>
      </w:r>
      <w:r w:rsidR="00EE6184">
        <w:rPr>
          <w:rFonts w:ascii="Times New Roman" w:hAnsi="Times New Roman"/>
          <w:sz w:val="24"/>
        </w:rPr>
        <w:t>pendio per il posto di lavoro “</w:t>
      </w:r>
      <w:r w:rsidR="00EE6184" w:rsidRPr="00EE6184">
        <w:rPr>
          <w:rFonts w:ascii="Times New Roman" w:hAnsi="Times New Roman"/>
          <w:sz w:val="24"/>
        </w:rPr>
        <w:t>Caposezione agli appalti pubblici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”  è il prodotto del coefficiente del posto di lavoro di 3,10 e della base per il calcolo della retribuzione (l'importo della base è 880,00 euro, lordi) aumentato dello 0,5% per ogni anno di servizio.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ListParagraph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35D2718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sull'appalto pubblico (Gazzetta ufficiale“, n. 120/16 e 144/22),</w:t>
      </w:r>
    </w:p>
    <w:p w14:paraId="57B1BBAE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sulla documentazione degli appalti e sulle offerte nelle procedure di appalto pubblico („Gazzetta ufficiale“ 65/17 e 75/20),</w:t>
      </w:r>
    </w:p>
    <w:p w14:paraId="5879E03F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in materia di piano degli appalti, registro dei contratti, consultazione preventiva e analisi di mercato negli appalti pubblici ("Gazzetta Ufficiale", 101/17 e 144/20),</w:t>
      </w:r>
    </w:p>
    <w:p w14:paraId="569CA927" w14:textId="2B06E7B4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Regolamento sull’attuazione dei procedimenti di appalto semplice negli organi amministrativi della Città di Pula-Pola (Službene novine – Bollettino ufficiale Pula-Pola n. 10/22, 26/22 e 16/23).</w:t>
      </w:r>
    </w:p>
    <w:p w14:paraId="531215F5" w14:textId="77777777" w:rsidR="003B017B" w:rsidRPr="003B017B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sull'autogoverno locale e territoriale (regionale) („Gazzetta ufficiale“ n. 33/01, 60/01 – interpretazione autentica, 129/05, 109/07, 125/08, 36/09, 150/11, 144/12, 19/13 - testo consolidato, 137/15 - correzione, 123/17, 98/19 e 144/20);</w:t>
      </w:r>
    </w:p>
    <w:p w14:paraId="5612D6A5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33E6A642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32850479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34096F46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8FE97AF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0A0E0AD1" w14:textId="77777777" w:rsidR="001D40B6" w:rsidRPr="006300D8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>Il numero complessivo dei punti che il candidato può ottenere alla prova scritta e al colloquio è 20 punti.</w:t>
      </w:r>
    </w:p>
    <w:p w14:paraId="48DC73F5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bando pubblico determina la graduatoria dei candidati in base al punteggio complessivo conseguito. La graduatoria viene quindi trasmessa all’Assessora all’urbanistica, agli investimenti e progetti di sviluppo della Città di Pula-Pola con la relazione inerente all’attuazione del procedimento firmata dai membri della Commissione per l’attuazione del bando.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1AF0669E" w14:textId="77777777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L’Assessora all’urbanistica, agli investimenti e ai progetti di sviluppo della Città di Pula-Pola, adotta il Provvedimento di assunzione che si trasmette a tutti i candidati che hanno presentato domanda al bando e che hanno aderito alla prova scritta.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1B03A9EB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31B00BA0" w:rsidR="003E650E" w:rsidRPr="001D40B6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sectPr w:rsidR="003E650E" w:rsidRPr="001D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6"/>
    <w:rsid w:val="00197A30"/>
    <w:rsid w:val="001D40B6"/>
    <w:rsid w:val="002557E0"/>
    <w:rsid w:val="00272DF7"/>
    <w:rsid w:val="003B017B"/>
    <w:rsid w:val="003E650E"/>
    <w:rsid w:val="0043319C"/>
    <w:rsid w:val="005522AD"/>
    <w:rsid w:val="00757BB3"/>
    <w:rsid w:val="007C777C"/>
    <w:rsid w:val="008C3298"/>
    <w:rsid w:val="008E3829"/>
    <w:rsid w:val="009A43AD"/>
    <w:rsid w:val="00E00DEB"/>
    <w:rsid w:val="00E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B6"/>
  </w:style>
  <w:style w:type="paragraph" w:styleId="Heading1">
    <w:name w:val="heading 1"/>
    <w:basedOn w:val="Normal"/>
    <w:next w:val="Normal"/>
    <w:link w:val="Heading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Sodomaco Damijanić Cristina</cp:lastModifiedBy>
  <cp:revision>4</cp:revision>
  <dcterms:created xsi:type="dcterms:W3CDTF">2025-02-06T06:16:00Z</dcterms:created>
  <dcterms:modified xsi:type="dcterms:W3CDTF">2025-02-06T06:47:00Z</dcterms:modified>
</cp:coreProperties>
</file>