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DC" w:rsidRPr="00025DAE" w:rsidRDefault="00F947EA" w:rsidP="00025DAE">
      <w:pPr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hr-HR"/>
        </w:rPr>
      </w:pPr>
      <w:r w:rsidRPr="00025DAE">
        <w:rPr>
          <w:rFonts w:ascii="Times New Roman" w:eastAsiaTheme="minorEastAsia" w:hAnsi="Times New Roman" w:cs="Times New Roman"/>
          <w:b/>
          <w:noProof/>
          <w:sz w:val="32"/>
          <w:szCs w:val="32"/>
          <w:lang w:eastAsia="hr-HR"/>
        </w:rPr>
        <w:t xml:space="preserve">Grad </w:t>
      </w:r>
      <w:r w:rsidR="00DA3DA9" w:rsidRPr="00025DAE">
        <w:rPr>
          <w:rFonts w:ascii="Times New Roman" w:eastAsiaTheme="minorEastAsia" w:hAnsi="Times New Roman" w:cs="Times New Roman"/>
          <w:b/>
          <w:noProof/>
          <w:sz w:val="32"/>
          <w:szCs w:val="32"/>
          <w:lang w:eastAsia="hr-HR"/>
        </w:rPr>
        <w:t>Pula</w:t>
      </w:r>
      <w:r w:rsidRPr="00025DAE">
        <w:rPr>
          <w:rFonts w:ascii="Times New Roman" w:eastAsiaTheme="minorEastAsia" w:hAnsi="Times New Roman" w:cs="Times New Roman"/>
          <w:b/>
          <w:noProof/>
          <w:sz w:val="32"/>
          <w:szCs w:val="32"/>
          <w:lang w:eastAsia="hr-HR"/>
        </w:rPr>
        <w:t xml:space="preserve"> </w:t>
      </w:r>
      <w:r w:rsidR="00557891">
        <w:rPr>
          <w:rFonts w:ascii="Times New Roman" w:eastAsiaTheme="minorEastAsia" w:hAnsi="Times New Roman" w:cs="Times New Roman"/>
          <w:b/>
          <w:noProof/>
          <w:sz w:val="32"/>
          <w:szCs w:val="32"/>
          <w:lang w:eastAsia="hr-HR"/>
        </w:rPr>
        <w:t xml:space="preserve">započinje s provedbom programa </w:t>
      </w:r>
      <w:r w:rsidRPr="00025DAE">
        <w:rPr>
          <w:rFonts w:ascii="Times New Roman" w:eastAsiaTheme="minorEastAsia" w:hAnsi="Times New Roman" w:cs="Times New Roman"/>
          <w:b/>
          <w:noProof/>
          <w:sz w:val="32"/>
          <w:szCs w:val="32"/>
          <w:lang w:eastAsia="hr-HR"/>
        </w:rPr>
        <w:t xml:space="preserve"> izobrazno-informativnih aktivnosti o održivom gospodarenju otpadom za projekt </w:t>
      </w:r>
      <w:r w:rsidR="00DA3DA9" w:rsidRPr="00025DAE">
        <w:rPr>
          <w:rFonts w:ascii="Times New Roman" w:eastAsiaTheme="minorEastAsia" w:hAnsi="Times New Roman" w:cs="Times New Roman"/>
          <w:b/>
          <w:noProof/>
          <w:sz w:val="32"/>
          <w:szCs w:val="32"/>
          <w:lang w:eastAsia="hr-HR"/>
        </w:rPr>
        <w:t>„RAZMISLI, ODVOJI, ŠTEDI!“</w:t>
      </w:r>
      <w:r w:rsidR="00025DAE" w:rsidRPr="00025DAE">
        <w:rPr>
          <w:rFonts w:ascii="Times New Roman" w:eastAsiaTheme="minorEastAsia" w:hAnsi="Times New Roman" w:cs="Times New Roman"/>
          <w:b/>
          <w:noProof/>
          <w:sz w:val="32"/>
          <w:szCs w:val="32"/>
          <w:lang w:eastAsia="hr-HR"/>
        </w:rPr>
        <w:t xml:space="preserve"> </w:t>
      </w:r>
      <w:r w:rsidR="00557891">
        <w:rPr>
          <w:rFonts w:ascii="Times New Roman" w:eastAsiaTheme="minorEastAsia" w:hAnsi="Times New Roman" w:cs="Times New Roman"/>
          <w:b/>
          <w:noProof/>
          <w:sz w:val="32"/>
          <w:szCs w:val="32"/>
          <w:lang w:eastAsia="hr-HR"/>
        </w:rPr>
        <w:t xml:space="preserve">za što je s FZOEU </w:t>
      </w:r>
      <w:r w:rsidR="00B031CF">
        <w:rPr>
          <w:rFonts w:ascii="Times New Roman" w:eastAsiaTheme="minorEastAsia" w:hAnsi="Times New Roman" w:cs="Times New Roman"/>
          <w:b/>
          <w:noProof/>
          <w:sz w:val="32"/>
          <w:szCs w:val="32"/>
          <w:lang w:eastAsia="hr-HR"/>
        </w:rPr>
        <w:t xml:space="preserve">i MZOE </w:t>
      </w:r>
      <w:r w:rsidR="00557891">
        <w:rPr>
          <w:rFonts w:ascii="Times New Roman" w:eastAsiaTheme="minorEastAsia" w:hAnsi="Times New Roman" w:cs="Times New Roman"/>
          <w:b/>
          <w:noProof/>
          <w:sz w:val="32"/>
          <w:szCs w:val="32"/>
          <w:lang w:eastAsia="hr-HR"/>
        </w:rPr>
        <w:t xml:space="preserve">potpisan </w:t>
      </w:r>
      <w:r w:rsidR="00557891" w:rsidRPr="00025DAE">
        <w:rPr>
          <w:rFonts w:ascii="Times New Roman" w:eastAsiaTheme="minorEastAsia" w:hAnsi="Times New Roman" w:cs="Times New Roman"/>
          <w:b/>
          <w:noProof/>
          <w:sz w:val="32"/>
          <w:szCs w:val="32"/>
          <w:lang w:eastAsia="hr-HR"/>
        </w:rPr>
        <w:t xml:space="preserve"> ugovor </w:t>
      </w:r>
      <w:r w:rsidR="00557891">
        <w:rPr>
          <w:rFonts w:ascii="Times New Roman" w:eastAsiaTheme="minorEastAsia" w:hAnsi="Times New Roman" w:cs="Times New Roman"/>
          <w:b/>
          <w:noProof/>
          <w:sz w:val="32"/>
          <w:szCs w:val="32"/>
          <w:lang w:eastAsia="hr-HR"/>
        </w:rPr>
        <w:t>ukupne vrijednosti 1.197.845,49 kuna</w:t>
      </w:r>
    </w:p>
    <w:p w:rsidR="00381B7D" w:rsidRDefault="00381B7D" w:rsidP="00F947EA">
      <w:pPr>
        <w:pStyle w:val="NormalWeb"/>
        <w:shd w:val="clear" w:color="auto" w:fill="FFFFFF"/>
        <w:spacing w:before="0" w:beforeAutospacing="0" w:after="117" w:afterAutospacing="0"/>
        <w:rPr>
          <w:rFonts w:ascii="Open Sans" w:hAnsi="Open Sans"/>
          <w:color w:val="4F5054"/>
          <w:sz w:val="23"/>
          <w:szCs w:val="23"/>
        </w:rPr>
      </w:pPr>
    </w:p>
    <w:p w:rsidR="00F947EA" w:rsidRPr="00025DAE" w:rsidRDefault="00381B7D" w:rsidP="00D200B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025DAE">
        <w:t xml:space="preserve">Grad Pula-Pola je u sklopu otvorenog Poziva za dostavu projektnih prijedloga Provedbe Programa </w:t>
      </w:r>
      <w:r w:rsidRPr="00025DAE">
        <w:rPr>
          <w:rFonts w:eastAsiaTheme="minorEastAsia"/>
          <w:noProof/>
        </w:rPr>
        <w:t>izobrazno-informativnih aktivnosti o održivom gospodarenju otpadom</w:t>
      </w:r>
      <w:r w:rsidRPr="00025DAE">
        <w:t xml:space="preserve"> za svoj projekt </w:t>
      </w:r>
      <w:r w:rsidRPr="00025DAE">
        <w:rPr>
          <w:rFonts w:eastAsiaTheme="minorEastAsia"/>
          <w:noProof/>
        </w:rPr>
        <w:t>„RAZMISLI, ODVOJI, ŠTEDI!“ ispunio sve kriterije prihvatljivosti za sufinanciranje sredstvima Kohezijskog fonda</w:t>
      </w:r>
      <w:r w:rsidR="00025DAE" w:rsidRPr="00025DAE">
        <w:rPr>
          <w:rFonts w:eastAsiaTheme="minorEastAsia"/>
          <w:noProof/>
        </w:rPr>
        <w:t xml:space="preserve"> te je d</w:t>
      </w:r>
      <w:r w:rsidR="002A27DA" w:rsidRPr="00025DAE">
        <w:t xml:space="preserve">ana </w:t>
      </w:r>
      <w:r w:rsidR="00025DAE" w:rsidRPr="00025DAE">
        <w:t>16. listopada</w:t>
      </w:r>
      <w:r w:rsidR="002A27DA" w:rsidRPr="00025DAE">
        <w:t xml:space="preserve"> 2018. godine  </w:t>
      </w:r>
      <w:r w:rsidR="00025DAE" w:rsidRPr="00025DAE">
        <w:t>potpisan Ugovor o sufinanciranju između</w:t>
      </w:r>
      <w:r w:rsidR="002A27DA" w:rsidRPr="00025DAE">
        <w:t xml:space="preserve"> </w:t>
      </w:r>
      <w:r w:rsidR="00F947EA" w:rsidRPr="00025DAE">
        <w:t>Ministarstva zaštite okoliša i energetike</w:t>
      </w:r>
      <w:r w:rsidR="00557891">
        <w:t xml:space="preserve"> (Klasa: 351-04/18-0-12/26, </w:t>
      </w:r>
      <w:proofErr w:type="spellStart"/>
      <w:r w:rsidR="00557891">
        <w:t>Urbroj</w:t>
      </w:r>
      <w:proofErr w:type="spellEnd"/>
      <w:r w:rsidR="00557891">
        <w:t>: 517-09-1-2-2-18-3),</w:t>
      </w:r>
      <w:r w:rsidR="00025DAE" w:rsidRPr="00025DAE">
        <w:t xml:space="preserve"> </w:t>
      </w:r>
      <w:r w:rsidR="00557891" w:rsidRPr="00025DAE">
        <w:t>Fond</w:t>
      </w:r>
      <w:r w:rsidR="00557891">
        <w:t>a</w:t>
      </w:r>
      <w:r w:rsidR="00557891" w:rsidRPr="00025DAE">
        <w:t xml:space="preserve"> za zaštitu okoliša i energetsku učinkovitos</w:t>
      </w:r>
      <w:r w:rsidR="00557891">
        <w:t>t</w:t>
      </w:r>
      <w:r w:rsidR="000A28DF">
        <w:t xml:space="preserve"> </w:t>
      </w:r>
      <w:r w:rsidR="00557891">
        <w:t xml:space="preserve">(Klasa: 018-16/18-08/120, </w:t>
      </w:r>
      <w:proofErr w:type="spellStart"/>
      <w:r w:rsidR="00557891">
        <w:t>Urbroj</w:t>
      </w:r>
      <w:proofErr w:type="spellEnd"/>
      <w:r w:rsidR="00557891">
        <w:t xml:space="preserve">: 563-11-1/251-18-10) </w:t>
      </w:r>
      <w:r w:rsidR="00F947EA" w:rsidRPr="00025DAE">
        <w:t xml:space="preserve">te </w:t>
      </w:r>
      <w:r w:rsidR="00557891" w:rsidRPr="00025DAE">
        <w:t>Grada Pula-Pola</w:t>
      </w:r>
      <w:r w:rsidR="00557891">
        <w:t xml:space="preserve"> (Klasa: 351-01/18-01/13, </w:t>
      </w:r>
      <w:proofErr w:type="spellStart"/>
      <w:r w:rsidR="00557891">
        <w:t>Urbroj</w:t>
      </w:r>
      <w:proofErr w:type="spellEnd"/>
      <w:r w:rsidR="00557891">
        <w:t>: 2168/01-03-04-0449-18-18).</w:t>
      </w:r>
    </w:p>
    <w:p w:rsidR="00F947EA" w:rsidRPr="00025DAE" w:rsidRDefault="00F947EA" w:rsidP="00D200B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025DAE">
        <w:t xml:space="preserve">Ukupna vrijednost projekta </w:t>
      </w:r>
      <w:r w:rsidR="00DA3DA9" w:rsidRPr="00025DAE">
        <w:rPr>
          <w:b/>
          <w:bCs/>
        </w:rPr>
        <w:t xml:space="preserve">„RAZMISLI, ODVOJI, ŠTEDI!“ </w:t>
      </w:r>
      <w:r w:rsidR="00557891" w:rsidRPr="000A28DF">
        <w:rPr>
          <w:bCs/>
        </w:rPr>
        <w:t>( referentni broj: KK.06.3.1.07.0079)</w:t>
      </w:r>
      <w:r w:rsidR="00557891">
        <w:rPr>
          <w:b/>
          <w:bCs/>
        </w:rPr>
        <w:t xml:space="preserve"> </w:t>
      </w:r>
      <w:r w:rsidR="00DA3DA9" w:rsidRPr="00025DAE">
        <w:rPr>
          <w:bCs/>
        </w:rPr>
        <w:t>iznosi</w:t>
      </w:r>
      <w:r w:rsidRPr="00025DAE">
        <w:t> </w:t>
      </w:r>
      <w:r w:rsidR="00557891">
        <w:t xml:space="preserve"> 1.197.845,49 kuna, od čega prihvatljivih troškova </w:t>
      </w:r>
      <w:r w:rsidR="00DA3DA9" w:rsidRPr="00025DAE">
        <w:t>1.173.470,49</w:t>
      </w:r>
      <w:r w:rsidR="00557891">
        <w:t xml:space="preserve"> kuna. </w:t>
      </w:r>
      <w:r w:rsidRPr="00025DAE">
        <w:t xml:space="preserve"> </w:t>
      </w:r>
      <w:r w:rsidR="00557891">
        <w:t xml:space="preserve">Sufinanciranje </w:t>
      </w:r>
      <w:r w:rsidR="00DA3DA9" w:rsidRPr="00025DAE">
        <w:t xml:space="preserve"> projekta od 84,99% iznosi 997.449,81 kuna </w:t>
      </w:r>
      <w:r w:rsidRPr="00025DAE">
        <w:t xml:space="preserve">dok Grad </w:t>
      </w:r>
      <w:r w:rsidR="00DA3DA9" w:rsidRPr="00025DAE">
        <w:t>Pula -Pola</w:t>
      </w:r>
      <w:r w:rsidRPr="00025DAE">
        <w:t xml:space="preserve"> sredstvima iz Proračuna osigurava </w:t>
      </w:r>
      <w:r w:rsidR="00DA3DA9" w:rsidRPr="00025DAE">
        <w:t xml:space="preserve"> preostalih </w:t>
      </w:r>
      <w:r w:rsidR="00345152" w:rsidRPr="00025DAE">
        <w:t xml:space="preserve"> </w:t>
      </w:r>
      <w:r w:rsidRPr="00025DAE">
        <w:t>15,01% ukupno prihvatljivih troškova.</w:t>
      </w:r>
    </w:p>
    <w:p w:rsidR="00F947EA" w:rsidRPr="00025DAE" w:rsidRDefault="00D200B1" w:rsidP="00D200B1">
      <w:pPr>
        <w:pStyle w:val="NormalWeb"/>
        <w:shd w:val="clear" w:color="auto" w:fill="FFFFFF"/>
        <w:spacing w:before="0" w:beforeAutospacing="0" w:after="0" w:afterAutospacing="0"/>
        <w:jc w:val="both"/>
      </w:pPr>
      <w:r>
        <w:tab/>
      </w:r>
      <w:r w:rsidR="00F947EA" w:rsidRPr="00025DAE">
        <w:t xml:space="preserve">Projektom </w:t>
      </w:r>
      <w:r w:rsidR="002A27DA" w:rsidRPr="00025DAE">
        <w:rPr>
          <w:b/>
          <w:bCs/>
        </w:rPr>
        <w:t xml:space="preserve">„RAZMISLI, ODVOJI, ŠTEDI!“ </w:t>
      </w:r>
      <w:r w:rsidR="00F947EA" w:rsidRPr="00025DAE">
        <w:t>informirati</w:t>
      </w:r>
      <w:r w:rsidR="002A27DA" w:rsidRPr="00025DAE">
        <w:t xml:space="preserve"> će se</w:t>
      </w:r>
      <w:r w:rsidR="00F947EA" w:rsidRPr="00025DAE">
        <w:t xml:space="preserve"> i educirati cjelokupno stanovništvo grada </w:t>
      </w:r>
      <w:r w:rsidR="00345152" w:rsidRPr="00025DAE">
        <w:t>Pule</w:t>
      </w:r>
      <w:r w:rsidR="00F947EA" w:rsidRPr="00025DAE">
        <w:t xml:space="preserve"> o održivom gospodarenju otpadom kroz provedbu </w:t>
      </w:r>
      <w:r w:rsidR="00345152" w:rsidRPr="00025DAE">
        <w:t>petnaest</w:t>
      </w:r>
      <w:r w:rsidR="00F947EA" w:rsidRPr="00025DAE">
        <w:t xml:space="preserve"> aktivnosti iz Programa izobrazno-informativnih aktivnosti o održivom gospodarenju otpadom. Provedbom aktivnosti građanima će se prenijeti ključne poruke kojima će biti upoznati s važnosti i koristima o</w:t>
      </w:r>
      <w:r w:rsidR="00557891">
        <w:t xml:space="preserve">drživog gospodarenja otpadom, s posebnim naglaskom na </w:t>
      </w:r>
      <w:r w:rsidR="00557891" w:rsidRPr="00025DAE">
        <w:t>: sprječavanje nastanka otpada, pravilno odvajanje otpada u kućanstvim</w:t>
      </w:r>
      <w:r w:rsidR="000A28DF">
        <w:t xml:space="preserve">a, kućno </w:t>
      </w:r>
      <w:proofErr w:type="spellStart"/>
      <w:r w:rsidR="000A28DF">
        <w:t>kompostiranje</w:t>
      </w:r>
      <w:proofErr w:type="spellEnd"/>
      <w:r w:rsidR="000A28DF">
        <w:t xml:space="preserve"> i ponovnu</w:t>
      </w:r>
      <w:r w:rsidR="00557891" w:rsidRPr="00025DAE">
        <w:t xml:space="preserve"> uporaba predmeta.</w:t>
      </w:r>
    </w:p>
    <w:p w:rsidR="00B57F31" w:rsidRDefault="00F947EA" w:rsidP="00D200B1">
      <w:pPr>
        <w:pStyle w:val="bullets"/>
        <w:numPr>
          <w:ilvl w:val="0"/>
          <w:numId w:val="0"/>
        </w:numPr>
        <w:ind w:firstLine="709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</w:pPr>
      <w:r w:rsidRPr="00744841"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 xml:space="preserve">Grad Pula ovim projektom predviđa ciljano obuhvatiti sve skupine javnosti, </w:t>
      </w:r>
      <w:r w:rsidR="002A27DA"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 xml:space="preserve">a posebno se želi utjecati na </w:t>
      </w:r>
      <w:r w:rsidRPr="00744841"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>sljedeće interesne skupine:</w:t>
      </w:r>
      <w:r w:rsidR="002A27DA"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>djeca predškolske dobi</w:t>
      </w:r>
      <w:r w:rsidR="002A27DA"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 xml:space="preserve">,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>djeca osnovnih škola</w:t>
      </w:r>
      <w:r w:rsidR="002A27DA"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 xml:space="preserve">,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>djeca srednjih škola</w:t>
      </w:r>
      <w:r w:rsidR="002A27DA"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 xml:space="preserve">,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>građani svih dobnih skupina</w:t>
      </w:r>
      <w:r w:rsidR="002A27DA"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 xml:space="preserve">,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>građani koji žive u samostojećim obiteljskim kućama s okućnicom</w:t>
      </w:r>
      <w:r w:rsidR="002A27DA"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 xml:space="preserve">,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>turisti</w:t>
      </w:r>
      <w:r w:rsidR="002A27DA"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 xml:space="preserve">,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>umirovljenici</w:t>
      </w:r>
      <w:r w:rsidR="002A27DA"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 xml:space="preserve">, </w:t>
      </w:r>
      <w:r w:rsidRPr="006335F6"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>edukatori</w:t>
      </w:r>
      <w:r w:rsidR="002A27DA"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 xml:space="preserve">,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>odgojno-obrazovne institucije</w:t>
      </w:r>
      <w:r w:rsidR="002A27DA"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 xml:space="preserve">,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>milenijska generacija</w:t>
      </w:r>
      <w:r w:rsidR="002A27DA"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 xml:space="preserve">,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>pripadnici nacionalne manjine</w:t>
      </w:r>
      <w:r w:rsidR="002A27DA"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 xml:space="preserve"> te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 xml:space="preserve">osobe s </w:t>
      </w:r>
      <w:r w:rsidR="002A27DA"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>posebnim potrebama.</w:t>
      </w:r>
    </w:p>
    <w:p w:rsidR="00B57F31" w:rsidRPr="00D200B1" w:rsidRDefault="00F947EA" w:rsidP="00D200B1">
      <w:pPr>
        <w:pStyle w:val="bullets"/>
        <w:numPr>
          <w:ilvl w:val="0"/>
          <w:numId w:val="0"/>
        </w:numPr>
        <w:ind w:firstLine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>Putem ovog projekta predviđa se 15 izobrazno-informativnih aktivnosti o održivom gospodarenju otpadom</w:t>
      </w:r>
      <w:r w:rsidR="00B57F31"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 xml:space="preserve">, od kojih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 xml:space="preserve"> </w:t>
      </w:r>
      <w:r w:rsidR="00B57F31" w:rsidRPr="00B57F31"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>7 obaveznih i 8 preporučenih izobrazno-informativnih aktivnosti</w:t>
      </w:r>
      <w:r w:rsidR="00B57F31"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 xml:space="preserve">, a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>koje se planiraju provesti aktivnosti sustavno, ciljano na sve skupine društva</w:t>
      </w:r>
      <w:r w:rsidR="00B57F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200B1" w:rsidRPr="00D200B1">
        <w:rPr>
          <w:rFonts w:ascii="Times New Roman" w:eastAsiaTheme="minorEastAsia" w:hAnsi="Times New Roman" w:cs="Times New Roman"/>
          <w:noProof/>
          <w:sz w:val="24"/>
          <w:szCs w:val="24"/>
          <w:lang w:val="hr-HR"/>
        </w:rPr>
        <w:t>Razdoblje provedbe projekta iznosi 20 mjeseci.</w:t>
      </w:r>
    </w:p>
    <w:p w:rsidR="00B57F31" w:rsidRDefault="00B57F31" w:rsidP="00D200B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200B1">
        <w:rPr>
          <w:rFonts w:eastAsiaTheme="minorEastAsia"/>
          <w:noProof/>
          <w:lang w:eastAsia="en-US"/>
        </w:rPr>
        <w:t>Od obaveznih aktivnosti planira se izrada više vrsta</w:t>
      </w:r>
      <w:r w:rsidRPr="00D200B1">
        <w:t xml:space="preserve"> letaka, kao primjerice dvojezični letci „Pametna kupovina“, „Ponovna uporaba“, letci u formi </w:t>
      </w:r>
      <w:proofErr w:type="spellStart"/>
      <w:r w:rsidRPr="00D200B1">
        <w:t>bookmarka</w:t>
      </w:r>
      <w:proofErr w:type="spellEnd"/>
      <w:r w:rsidRPr="00D200B1">
        <w:t xml:space="preserve"> na temu sprječavanja nastanka otpada, ponovna uporaba, odvajanje stakla, plastike i papira. Na najfrekventnijim pozicijama u gradu postavit će se više različitih vrsta plakata kao i </w:t>
      </w:r>
      <w:proofErr w:type="spellStart"/>
      <w:r w:rsidRPr="00D200B1">
        <w:t>jumbo</w:t>
      </w:r>
      <w:proofErr w:type="spellEnd"/>
      <w:r w:rsidRPr="00D200B1">
        <w:t xml:space="preserve"> plakati namijenjeni  građanima i turistima. Osim toga trajni kaširani plakat veličine B1 namijenjen djeci od 7-15 godina na temu „NE BACAJ U PRIRODU – vrijeme biološke razgradnje otpada u prirodi“ podijelit će se uz predavanja po svim osnovnim školama. Projekt obuhvaća i izradu </w:t>
      </w:r>
      <w:r w:rsidRPr="00D200B1">
        <w:lastRenderedPageBreak/>
        <w:t>dvojezične brošure (HR i IT) na temu „Odvajanje otpada“ te na temu „</w:t>
      </w:r>
      <w:proofErr w:type="spellStart"/>
      <w:r w:rsidRPr="00D200B1">
        <w:t>Kompostiranje</w:t>
      </w:r>
      <w:proofErr w:type="spellEnd"/>
      <w:r w:rsidRPr="00D200B1">
        <w:t xml:space="preserve">“ koja će  biti podijeljena svim obiteljskim kućanstvima kojima će se pokloniti </w:t>
      </w:r>
      <w:proofErr w:type="spellStart"/>
      <w:r w:rsidRPr="00D200B1">
        <w:t>komposteri</w:t>
      </w:r>
      <w:proofErr w:type="spellEnd"/>
      <w:r w:rsidRPr="00D200B1">
        <w:t xml:space="preserve"> za zbrinjavanje organskog otpada. Nadalje, od obaveznih aktivnosti, planira se produkcija, emitiranje i sudjelovanje u specijaliziranim radijskim i TV emisijama (prilagođenih osobama s posebnim potrebama uz primjenu znakovnog jezik za gluhonijeme) raspoređenim tijekom cijelog perioda provedbe projekta u trajanju od 20 mjeseci. Nadogradit će se mrežna stranica Grada Pule o gospodarenju otpadom, održati javne edukacijske tribine na temu održivog gospodarenja otpadom, odnosno, predavanja/radionice po svim mjesnim odborima i školama. </w:t>
      </w:r>
      <w:r w:rsidR="00EC18B7">
        <w:t>Što se tiče preporučenih aktivnosti, realizirati će se</w:t>
      </w:r>
      <w:r w:rsidR="00EC18B7" w:rsidRPr="00D200B1">
        <w:t xml:space="preserve"> </w:t>
      </w:r>
      <w:r w:rsidRPr="00D200B1">
        <w:t xml:space="preserve">predstave za djecu, izrada edukativnih materijala za djecu, provedba natjecanja u školama u izradi kreativnih stvari od prethodno prikupljenog otpada, prikupljanje otpada, prezentacija radova i drugo, a planira se i edukativno obilježavanje važnijih datuma vezanih uz zaštitu okoliša. Spotovi i reklame na više jezika, kalendari, blokovi i slično s logom projekta dodatno će pojačati odjek aktivnosti. U cilju što uspješnije provedbe projekta, vršit će se kontinuirana promidžba i vidljivost projekta za što će biti posebno osmišljen  zaštitni znak kampanje te će se kreirati vizualni identitet i logotip kampanje koji će pratiti sve aktivnosti tijekom cijelog trajanja projekta. Time će se, uz obavezno korištenje službenih oznaka kampanje, pojačati sama vidljivost i efikasnost projekta. </w:t>
      </w:r>
    </w:p>
    <w:p w:rsidR="00187078" w:rsidRPr="00D200B1" w:rsidRDefault="00187078" w:rsidP="00D200B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Kontakt osoba za informacije o provođenju projekta: </w:t>
      </w:r>
      <w:proofErr w:type="spellStart"/>
      <w:r>
        <w:t>mr</w:t>
      </w:r>
      <w:proofErr w:type="spellEnd"/>
      <w:r>
        <w:t xml:space="preserve">. </w:t>
      </w:r>
      <w:proofErr w:type="spellStart"/>
      <w:r>
        <w:t>sci</w:t>
      </w:r>
      <w:proofErr w:type="spellEnd"/>
      <w:r>
        <w:t>. Maja Cvek, dipl.ing.biol.</w:t>
      </w:r>
      <w:r w:rsidR="00935289">
        <w:t xml:space="preserve"> (e-mail: </w:t>
      </w:r>
      <w:proofErr w:type="spellStart"/>
      <w:r w:rsidR="00935289">
        <w:t>maja.cvek</w:t>
      </w:r>
      <w:proofErr w:type="spellEnd"/>
      <w:r w:rsidR="00935289">
        <w:t>@</w:t>
      </w:r>
      <w:proofErr w:type="spellStart"/>
      <w:r w:rsidR="00935289">
        <w:t>pula.hr</w:t>
      </w:r>
      <w:proofErr w:type="spellEnd"/>
      <w:r w:rsidR="00935289">
        <w:t>).</w:t>
      </w:r>
    </w:p>
    <w:p w:rsidR="00B57F31" w:rsidRDefault="00D200B1" w:rsidP="00D200B1">
      <w:pPr>
        <w:pStyle w:val="Heading1"/>
        <w:widowControl w:val="0"/>
        <w:tabs>
          <w:tab w:val="left" w:pos="851"/>
        </w:tabs>
        <w:autoSpaceDE w:val="0"/>
        <w:autoSpaceDN w:val="0"/>
        <w:spacing w:before="0" w:beforeAutospacing="0" w:after="0" w:afterAutospacing="0"/>
        <w:rPr>
          <w:rFonts w:eastAsiaTheme="minorEastAsia"/>
          <w:b w:val="0"/>
          <w:noProof/>
          <w:sz w:val="24"/>
          <w:szCs w:val="24"/>
        </w:rPr>
      </w:pPr>
      <w:bookmarkStart w:id="0" w:name="_bookmark4"/>
      <w:bookmarkStart w:id="1" w:name="_bookmark5"/>
      <w:bookmarkStart w:id="2" w:name="_Toc510507945"/>
      <w:bookmarkEnd w:id="0"/>
      <w:bookmarkEnd w:id="1"/>
      <w:r>
        <w:rPr>
          <w:rFonts w:eastAsiaTheme="minorEastAsia"/>
          <w:b w:val="0"/>
          <w:noProof/>
          <w:sz w:val="24"/>
          <w:szCs w:val="24"/>
        </w:rPr>
        <w:tab/>
      </w:r>
      <w:bookmarkEnd w:id="2"/>
    </w:p>
    <w:p w:rsidR="00F947EA" w:rsidRPr="001D4B81" w:rsidRDefault="00F947EA" w:rsidP="00D200B1">
      <w:pPr>
        <w:spacing w:after="0" w:line="240" w:lineRule="auto"/>
        <w:rPr>
          <w:rFonts w:ascii="Times New Roman" w:eastAsiaTheme="minorEastAsia" w:hAnsi="Times New Roman" w:cs="Times New Roman"/>
          <w:bCs/>
          <w:noProof/>
          <w:kern w:val="36"/>
          <w:sz w:val="24"/>
          <w:szCs w:val="24"/>
          <w:lang w:eastAsia="hr-HR"/>
        </w:rPr>
      </w:pPr>
    </w:p>
    <w:sectPr w:rsidR="00F947EA" w:rsidRPr="001D4B81" w:rsidSect="00E015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3B0" w:rsidRDefault="007A13B0" w:rsidP="00F947EA">
      <w:pPr>
        <w:spacing w:after="0" w:line="240" w:lineRule="auto"/>
      </w:pPr>
      <w:r>
        <w:separator/>
      </w:r>
    </w:p>
  </w:endnote>
  <w:endnote w:type="continuationSeparator" w:id="1">
    <w:p w:rsidR="007A13B0" w:rsidRDefault="007A13B0" w:rsidP="00F9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3B0" w:rsidRDefault="007A13B0" w:rsidP="00F947EA">
      <w:pPr>
        <w:spacing w:after="0" w:line="240" w:lineRule="auto"/>
      </w:pPr>
      <w:r>
        <w:separator/>
      </w:r>
    </w:p>
  </w:footnote>
  <w:footnote w:type="continuationSeparator" w:id="1">
    <w:p w:rsidR="007A13B0" w:rsidRDefault="007A13B0" w:rsidP="00F9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EA" w:rsidRDefault="00F947EA" w:rsidP="00F947EA">
    <w:pPr>
      <w:pStyle w:val="Header"/>
      <w:jc w:val="center"/>
      <w:rPr>
        <w:noProof/>
      </w:rPr>
    </w:pPr>
    <w:r w:rsidRPr="006012F6">
      <w:rPr>
        <w:noProof/>
        <w:lang w:eastAsia="hr-HR"/>
      </w:rPr>
      <w:drawing>
        <wp:inline distT="0" distB="0" distL="0" distR="0">
          <wp:extent cx="1019175" cy="762000"/>
          <wp:effectExtent l="0" t="0" r="9525" b="0"/>
          <wp:docPr id="6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 w:rsidRPr="006012F6">
      <w:rPr>
        <w:noProof/>
        <w:lang w:eastAsia="hr-HR"/>
      </w:rPr>
      <w:drawing>
        <wp:inline distT="0" distB="0" distL="0" distR="0">
          <wp:extent cx="1438275" cy="638175"/>
          <wp:effectExtent l="0" t="0" r="9525" b="9525"/>
          <wp:docPr id="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 w:rsidRPr="006012F6">
      <w:rPr>
        <w:noProof/>
        <w:lang w:eastAsia="hr-HR"/>
      </w:rPr>
      <w:drawing>
        <wp:inline distT="0" distB="0" distL="0" distR="0">
          <wp:extent cx="1438275" cy="561975"/>
          <wp:effectExtent l="0" t="0" r="9525" b="9525"/>
          <wp:docPr id="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  <w:lang w:eastAsia="hr-HR"/>
      </w:rPr>
      <w:drawing>
        <wp:inline distT="0" distB="0" distL="0" distR="0">
          <wp:extent cx="680154" cy="553570"/>
          <wp:effectExtent l="19050" t="0" r="0" b="0"/>
          <wp:docPr id="2" name="Picture 1" descr="Slikovni rezultat za grad pula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grad pula grb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829" cy="5549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47EA" w:rsidRDefault="00F947EA" w:rsidP="00F947EA">
    <w:pPr>
      <w:pStyle w:val="Header"/>
      <w:jc w:val="center"/>
      <w:rPr>
        <w:noProof/>
      </w:rPr>
    </w:pPr>
  </w:p>
  <w:p w:rsidR="00F947EA" w:rsidRDefault="00F947EA" w:rsidP="00F947EA">
    <w:pPr>
      <w:pStyle w:val="Header"/>
      <w:jc w:val="center"/>
      <w:rPr>
        <w:noProof/>
      </w:rPr>
    </w:pPr>
    <w:r>
      <w:rPr>
        <w:noProof/>
      </w:rPr>
      <w:t>„</w:t>
    </w:r>
    <w:r w:rsidRPr="005304E3">
      <w:rPr>
        <w:noProof/>
      </w:rPr>
      <w:t>Projekt je sufinancirala Europska unija iz Kohezijskog fonda</w:t>
    </w:r>
    <w:r>
      <w:rPr>
        <w:noProof/>
      </w:rPr>
      <w:t>“</w:t>
    </w:r>
  </w:p>
  <w:p w:rsidR="00F947EA" w:rsidRDefault="00F947EA" w:rsidP="00F947EA">
    <w:pPr>
      <w:pStyle w:val="Header"/>
    </w:pPr>
  </w:p>
  <w:p w:rsidR="00F947EA" w:rsidRDefault="00F947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655"/>
    <w:multiLevelType w:val="hybridMultilevel"/>
    <w:tmpl w:val="F11AFF48"/>
    <w:lvl w:ilvl="0" w:tplc="D084D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163B7"/>
    <w:multiLevelType w:val="hybridMultilevel"/>
    <w:tmpl w:val="6C4E8340"/>
    <w:lvl w:ilvl="0" w:tplc="D084D2DE">
      <w:start w:val="1"/>
      <w:numFmt w:val="bullet"/>
      <w:lvlText w:val=""/>
      <w:lvlJc w:val="left"/>
      <w:pPr>
        <w:ind w:left="14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>
    <w:nsid w:val="2E052C74"/>
    <w:multiLevelType w:val="hybridMultilevel"/>
    <w:tmpl w:val="582890E0"/>
    <w:lvl w:ilvl="0" w:tplc="4B2ADEDC">
      <w:start w:val="1"/>
      <w:numFmt w:val="decimal"/>
      <w:lvlText w:val="%1."/>
      <w:lvlJc w:val="left"/>
      <w:pPr>
        <w:ind w:left="558" w:hanging="440"/>
      </w:pPr>
      <w:rPr>
        <w:rFonts w:ascii="Trebuchet MS" w:eastAsia="Trebuchet MS" w:hAnsi="Trebuchet MS" w:cs="Trebuchet MS" w:hint="default"/>
        <w:w w:val="85"/>
        <w:sz w:val="22"/>
        <w:szCs w:val="22"/>
        <w:lang w:val="en-US" w:eastAsia="en-US" w:bidi="en-US"/>
      </w:rPr>
    </w:lvl>
    <w:lvl w:ilvl="1" w:tplc="6344B28E">
      <w:start w:val="1"/>
      <w:numFmt w:val="decimal"/>
      <w:lvlText w:val="%2."/>
      <w:lvlJc w:val="left"/>
      <w:pPr>
        <w:ind w:left="838" w:hanging="360"/>
      </w:pPr>
      <w:rPr>
        <w:rFonts w:ascii="Georgia" w:eastAsia="Georgia" w:hAnsi="Georgia" w:cs="Georgia" w:hint="default"/>
        <w:b/>
        <w:bCs/>
        <w:color w:val="365F91"/>
        <w:spacing w:val="-1"/>
        <w:w w:val="101"/>
        <w:sz w:val="28"/>
        <w:szCs w:val="28"/>
        <w:lang w:val="en-US" w:eastAsia="en-US" w:bidi="en-US"/>
      </w:rPr>
    </w:lvl>
    <w:lvl w:ilvl="2" w:tplc="84567B28">
      <w:start w:val="1"/>
      <w:numFmt w:val="decimal"/>
      <w:lvlText w:val="%3."/>
      <w:lvlJc w:val="left"/>
      <w:pPr>
        <w:ind w:left="1198" w:hanging="360"/>
      </w:pPr>
      <w:rPr>
        <w:rFonts w:hint="default"/>
        <w:i/>
        <w:w w:val="99"/>
        <w:lang w:val="en-US" w:eastAsia="en-US" w:bidi="en-US"/>
      </w:rPr>
    </w:lvl>
    <w:lvl w:ilvl="3" w:tplc="187E2300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en-US"/>
      </w:rPr>
    </w:lvl>
    <w:lvl w:ilvl="4" w:tplc="160ABB8A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en-US"/>
      </w:rPr>
    </w:lvl>
    <w:lvl w:ilvl="5" w:tplc="143228C4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en-US"/>
      </w:rPr>
    </w:lvl>
    <w:lvl w:ilvl="6" w:tplc="3028DB14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en-US"/>
      </w:rPr>
    </w:lvl>
    <w:lvl w:ilvl="7" w:tplc="45BC9916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en-US"/>
      </w:rPr>
    </w:lvl>
    <w:lvl w:ilvl="8" w:tplc="5AE0BD7E">
      <w:numFmt w:val="bullet"/>
      <w:lvlText w:val="•"/>
      <w:lvlJc w:val="left"/>
      <w:pPr>
        <w:ind w:left="7279" w:hanging="360"/>
      </w:pPr>
      <w:rPr>
        <w:rFonts w:hint="default"/>
        <w:lang w:val="en-US" w:eastAsia="en-US" w:bidi="en-US"/>
      </w:rPr>
    </w:lvl>
  </w:abstractNum>
  <w:abstractNum w:abstractNumId="3">
    <w:nsid w:val="4D9F1F2E"/>
    <w:multiLevelType w:val="hybridMultilevel"/>
    <w:tmpl w:val="C85ACC16"/>
    <w:lvl w:ilvl="0" w:tplc="D084D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947EA"/>
    <w:rsid w:val="00025DAE"/>
    <w:rsid w:val="000A28DF"/>
    <w:rsid w:val="000E464A"/>
    <w:rsid w:val="00147F4A"/>
    <w:rsid w:val="00187078"/>
    <w:rsid w:val="001D4B81"/>
    <w:rsid w:val="001F5451"/>
    <w:rsid w:val="002A27DA"/>
    <w:rsid w:val="00345152"/>
    <w:rsid w:val="00381B7D"/>
    <w:rsid w:val="003B14DF"/>
    <w:rsid w:val="004B6400"/>
    <w:rsid w:val="00555447"/>
    <w:rsid w:val="00557891"/>
    <w:rsid w:val="005B52EA"/>
    <w:rsid w:val="007116E2"/>
    <w:rsid w:val="007A13B0"/>
    <w:rsid w:val="007F4BB3"/>
    <w:rsid w:val="00810AC9"/>
    <w:rsid w:val="00896638"/>
    <w:rsid w:val="009021B5"/>
    <w:rsid w:val="00935289"/>
    <w:rsid w:val="00945FD1"/>
    <w:rsid w:val="00955666"/>
    <w:rsid w:val="00964C1A"/>
    <w:rsid w:val="00A20D59"/>
    <w:rsid w:val="00A444E6"/>
    <w:rsid w:val="00AD7FC0"/>
    <w:rsid w:val="00AE28B2"/>
    <w:rsid w:val="00B006A5"/>
    <w:rsid w:val="00B031CF"/>
    <w:rsid w:val="00B57F31"/>
    <w:rsid w:val="00B923E5"/>
    <w:rsid w:val="00CB257E"/>
    <w:rsid w:val="00D200B1"/>
    <w:rsid w:val="00DA3DA9"/>
    <w:rsid w:val="00DB646F"/>
    <w:rsid w:val="00E015DC"/>
    <w:rsid w:val="00E24302"/>
    <w:rsid w:val="00EC18B7"/>
    <w:rsid w:val="00EF6CC6"/>
    <w:rsid w:val="00F9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E2"/>
  </w:style>
  <w:style w:type="paragraph" w:styleId="Heading1">
    <w:name w:val="heading 1"/>
    <w:basedOn w:val="Normal"/>
    <w:link w:val="Heading1Char"/>
    <w:uiPriority w:val="1"/>
    <w:qFormat/>
    <w:rsid w:val="00711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7116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7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711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6E2"/>
    <w:rPr>
      <w:rFonts w:ascii="Times New Roman" w:eastAsia="Times New Roman" w:hAnsi="Times New Roman" w:cs="Times New Roman"/>
      <w:b/>
      <w:bCs/>
      <w:kern w:val="36"/>
      <w:sz w:val="32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7116E2"/>
    <w:rPr>
      <w:rFonts w:ascii="Times New Roman" w:eastAsia="Times New Roman" w:hAnsi="Times New Roman" w:cs="Times New Roman"/>
      <w:b/>
      <w:bCs/>
      <w:sz w:val="36"/>
      <w:szCs w:val="27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7116E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711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1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7116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16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ulletsChar">
    <w:name w:val="bullets Char"/>
    <w:link w:val="bullets"/>
    <w:locked/>
    <w:rsid w:val="00F947EA"/>
    <w:rPr>
      <w:rFonts w:ascii="Calibri" w:hAnsi="Calibri"/>
      <w:lang w:val="en-GB"/>
    </w:rPr>
  </w:style>
  <w:style w:type="paragraph" w:customStyle="1" w:styleId="bullets">
    <w:name w:val="bullets"/>
    <w:basedOn w:val="ListParagraph"/>
    <w:link w:val="bulletsChar"/>
    <w:qFormat/>
    <w:rsid w:val="00F947EA"/>
    <w:pPr>
      <w:numPr>
        <w:numId w:val="2"/>
      </w:numPr>
      <w:spacing w:after="0" w:line="240" w:lineRule="auto"/>
    </w:pPr>
    <w:rPr>
      <w:rFonts w:ascii="Calibri" w:hAnsi="Calibri"/>
      <w:lang w:val="en-GB"/>
    </w:rPr>
  </w:style>
  <w:style w:type="character" w:styleId="Hyperlink">
    <w:name w:val="Hyperlink"/>
    <w:basedOn w:val="DefaultParagraphFont"/>
    <w:uiPriority w:val="99"/>
    <w:unhideWhenUsed/>
    <w:rsid w:val="00F947E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947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47EA"/>
    <w:rPr>
      <w:rFonts w:ascii="Arial" w:eastAsia="Arial" w:hAnsi="Arial" w:cs="Arial"/>
      <w:sz w:val="24"/>
      <w:szCs w:val="24"/>
      <w:lang w:val="en-US" w:bidi="en-US"/>
    </w:rPr>
  </w:style>
  <w:style w:type="character" w:customStyle="1" w:styleId="ListParagraphChar">
    <w:name w:val="List Paragraph Char"/>
    <w:link w:val="ListParagraph"/>
    <w:uiPriority w:val="34"/>
    <w:locked/>
    <w:rsid w:val="00F947EA"/>
  </w:style>
  <w:style w:type="paragraph" w:styleId="Header">
    <w:name w:val="header"/>
    <w:basedOn w:val="Normal"/>
    <w:link w:val="HeaderChar"/>
    <w:uiPriority w:val="99"/>
    <w:unhideWhenUsed/>
    <w:rsid w:val="00F94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7EA"/>
  </w:style>
  <w:style w:type="paragraph" w:styleId="Footer">
    <w:name w:val="footer"/>
    <w:basedOn w:val="Normal"/>
    <w:link w:val="FooterChar"/>
    <w:uiPriority w:val="99"/>
    <w:semiHidden/>
    <w:unhideWhenUsed/>
    <w:rsid w:val="00F94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7EA"/>
  </w:style>
  <w:style w:type="paragraph" w:styleId="BalloonText">
    <w:name w:val="Balloon Text"/>
    <w:basedOn w:val="Normal"/>
    <w:link w:val="BalloonTextChar"/>
    <w:uiPriority w:val="99"/>
    <w:semiHidden/>
    <w:unhideWhenUsed/>
    <w:rsid w:val="00F9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1" w:color="EFEFEF"/>
            <w:right w:val="none" w:sz="0" w:space="0" w:color="auto"/>
          </w:divBdr>
          <w:divsChild>
            <w:div w:id="5938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mcvek</dc:creator>
  <cp:lastModifiedBy>lmosnja</cp:lastModifiedBy>
  <cp:revision>5</cp:revision>
  <dcterms:created xsi:type="dcterms:W3CDTF">2018-10-30T14:13:00Z</dcterms:created>
  <dcterms:modified xsi:type="dcterms:W3CDTF">2018-10-30T14:18:00Z</dcterms:modified>
</cp:coreProperties>
</file>